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4E685">
      <w:pPr>
        <w:pStyle w:val="2"/>
        <w:spacing w:before="101" w:line="224" w:lineRule="auto"/>
        <w:ind w:left="32"/>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spacing w:val="-12"/>
          <w:lang w:eastAsia="zh-CN"/>
          <w14:textFill>
            <w14:solidFill>
              <w14:schemeClr w14:val="tx1"/>
            </w14:solidFill>
          </w14:textFill>
        </w:rPr>
        <w:t>附件</w:t>
      </w:r>
      <w:r>
        <w:rPr>
          <w:rFonts w:hint="eastAsia" w:ascii="宋体" w:hAnsi="宋体" w:eastAsia="宋体" w:cs="宋体"/>
          <w:color w:val="000000" w:themeColor="text1"/>
          <w:spacing w:val="-39"/>
          <w:lang w:eastAsia="zh-CN"/>
          <w14:textFill>
            <w14:solidFill>
              <w14:schemeClr w14:val="tx1"/>
            </w14:solidFill>
          </w14:textFill>
        </w:rPr>
        <w:t xml:space="preserve"> </w:t>
      </w:r>
      <w:r>
        <w:rPr>
          <w:rFonts w:hint="eastAsia" w:ascii="宋体" w:hAnsi="宋体" w:eastAsia="宋体" w:cs="宋体"/>
          <w:color w:val="000000" w:themeColor="text1"/>
          <w:spacing w:val="-12"/>
          <w:lang w:eastAsia="zh-CN"/>
          <w14:textFill>
            <w14:solidFill>
              <w14:schemeClr w14:val="tx1"/>
            </w14:solidFill>
          </w14:textFill>
        </w:rPr>
        <w:t>1</w:t>
      </w:r>
    </w:p>
    <w:p w14:paraId="07AA384C">
      <w:pPr>
        <w:pStyle w:val="2"/>
        <w:keepNext w:val="0"/>
        <w:keepLines w:val="0"/>
        <w:pageBreakBefore w:val="0"/>
        <w:widowControl w:val="0"/>
        <w:kinsoku/>
        <w:wordWrap/>
        <w:overflowPunct/>
        <w:topLinePunct w:val="0"/>
        <w:autoSpaceDE/>
        <w:autoSpaceDN/>
        <w:bidi w:val="0"/>
        <w:adjustRightInd/>
        <w:snapToGrid/>
        <w:spacing w:before="117" w:line="224" w:lineRule="auto"/>
        <w:ind w:left="0"/>
        <w:jc w:val="center"/>
        <w:textAlignment w:val="auto"/>
        <w:rPr>
          <w:rFonts w:hint="eastAsia" w:ascii="黑体" w:hAnsi="黑体" w:eastAsia="黑体" w:cs="黑体"/>
          <w:b/>
          <w:bCs/>
          <w:color w:val="000000" w:themeColor="text1"/>
          <w:sz w:val="44"/>
          <w:szCs w:val="44"/>
          <w:lang w:eastAsia="zh-CN"/>
          <w14:textFill>
            <w14:solidFill>
              <w14:schemeClr w14:val="tx1"/>
            </w14:solidFill>
          </w14:textFill>
        </w:rPr>
      </w:pPr>
      <w:r>
        <w:rPr>
          <w:rFonts w:hint="eastAsia" w:ascii="黑体" w:hAnsi="黑体" w:eastAsia="黑体" w:cs="黑体"/>
          <w:b/>
          <w:bCs/>
          <w:color w:val="000000" w:themeColor="text1"/>
          <w:spacing w:val="6"/>
          <w:sz w:val="44"/>
          <w:szCs w:val="44"/>
          <w:lang w:eastAsia="zh-CN"/>
          <w14:textFill>
            <w14:solidFill>
              <w14:schemeClr w14:val="tx1"/>
            </w14:solidFill>
          </w14:textFill>
        </w:rPr>
        <w:t>四川省高等教育学会</w:t>
      </w:r>
    </w:p>
    <w:p w14:paraId="5F3F34EE">
      <w:pPr>
        <w:pStyle w:val="2"/>
        <w:keepNext w:val="0"/>
        <w:keepLines w:val="0"/>
        <w:pageBreakBefore w:val="0"/>
        <w:widowControl w:val="0"/>
        <w:kinsoku/>
        <w:wordWrap/>
        <w:overflowPunct/>
        <w:topLinePunct w:val="0"/>
        <w:autoSpaceDE/>
        <w:autoSpaceDN/>
        <w:bidi w:val="0"/>
        <w:adjustRightInd/>
        <w:snapToGrid/>
        <w:spacing w:before="81" w:line="221" w:lineRule="auto"/>
        <w:ind w:left="0"/>
        <w:jc w:val="center"/>
        <w:textAlignment w:val="auto"/>
        <w:rPr>
          <w:rFonts w:hint="eastAsia" w:ascii="宋体" w:hAnsi="宋体" w:eastAsia="宋体" w:cs="宋体"/>
          <w:b/>
          <w:bCs/>
          <w:color w:val="000000" w:themeColor="text1"/>
          <w:sz w:val="44"/>
          <w:szCs w:val="44"/>
          <w:lang w:eastAsia="zh-CN"/>
          <w14:textFill>
            <w14:solidFill>
              <w14:schemeClr w14:val="tx1"/>
            </w14:solidFill>
          </w14:textFill>
        </w:rPr>
      </w:pPr>
      <w:r>
        <w:rPr>
          <w:rFonts w:hint="eastAsia" w:ascii="黑体" w:hAnsi="黑体" w:eastAsia="黑体" w:cs="黑体"/>
          <w:b/>
          <w:bCs/>
          <w:color w:val="000000" w:themeColor="text1"/>
          <w:spacing w:val="7"/>
          <w:sz w:val="44"/>
          <w:szCs w:val="44"/>
          <w:lang w:eastAsia="zh-CN"/>
          <w14:textFill>
            <w14:solidFill>
              <w14:schemeClr w14:val="tx1"/>
            </w14:solidFill>
          </w14:textFill>
        </w:rPr>
        <w:t>202</w:t>
      </w:r>
      <w:r>
        <w:rPr>
          <w:rFonts w:hint="eastAsia" w:ascii="黑体" w:hAnsi="黑体" w:eastAsia="黑体" w:cs="黑体"/>
          <w:b/>
          <w:bCs/>
          <w:color w:val="000000" w:themeColor="text1"/>
          <w:spacing w:val="7"/>
          <w:sz w:val="44"/>
          <w:szCs w:val="44"/>
          <w:lang w:val="en-US" w:eastAsia="zh-CN"/>
          <w14:textFill>
            <w14:solidFill>
              <w14:schemeClr w14:val="tx1"/>
            </w14:solidFill>
          </w14:textFill>
        </w:rPr>
        <w:t>6</w:t>
      </w:r>
      <w:r>
        <w:rPr>
          <w:rFonts w:hint="eastAsia" w:ascii="黑体" w:hAnsi="黑体" w:eastAsia="黑体" w:cs="黑体"/>
          <w:b/>
          <w:bCs/>
          <w:color w:val="000000" w:themeColor="text1"/>
          <w:spacing w:val="7"/>
          <w:sz w:val="44"/>
          <w:szCs w:val="44"/>
          <w:lang w:eastAsia="zh-CN"/>
          <w14:textFill>
            <w14:solidFill>
              <w14:schemeClr w14:val="tx1"/>
            </w14:solidFill>
          </w14:textFill>
        </w:rPr>
        <w:t>年数字经济研究</w:t>
      </w:r>
      <w:r>
        <w:rPr>
          <w:rFonts w:hint="eastAsia" w:ascii="黑体" w:hAnsi="黑体" w:eastAsia="黑体" w:cs="黑体"/>
          <w:b/>
          <w:bCs/>
          <w:color w:val="000000" w:themeColor="text1"/>
          <w:spacing w:val="7"/>
          <w:sz w:val="44"/>
          <w:szCs w:val="44"/>
          <w:lang w:val="en-US" w:eastAsia="zh-CN"/>
          <w14:textFill>
            <w14:solidFill>
              <w14:schemeClr w14:val="tx1"/>
            </w14:solidFill>
          </w14:textFill>
        </w:rPr>
        <w:t>专项</w:t>
      </w:r>
      <w:bookmarkStart w:id="1" w:name="_GoBack"/>
      <w:bookmarkEnd w:id="1"/>
      <w:r>
        <w:rPr>
          <w:rFonts w:hint="eastAsia" w:ascii="黑体" w:hAnsi="黑体" w:eastAsia="黑体" w:cs="黑体"/>
          <w:b/>
          <w:bCs/>
          <w:color w:val="000000" w:themeColor="text1"/>
          <w:spacing w:val="7"/>
          <w:sz w:val="44"/>
          <w:szCs w:val="44"/>
          <w:lang w:eastAsia="zh-CN"/>
          <w14:textFill>
            <w14:solidFill>
              <w14:schemeClr w14:val="tx1"/>
            </w14:solidFill>
          </w14:textFill>
        </w:rPr>
        <w:t>课题</w:t>
      </w:r>
      <w:r>
        <w:rPr>
          <w:rFonts w:hint="eastAsia" w:ascii="黑体" w:hAnsi="黑体" w:eastAsia="黑体" w:cs="黑体"/>
          <w:b/>
          <w:bCs/>
          <w:color w:val="000000" w:themeColor="text1"/>
          <w:spacing w:val="7"/>
          <w:sz w:val="44"/>
          <w:szCs w:val="44"/>
          <w:lang w:val="en-US" w:eastAsia="zh-CN"/>
          <w14:textFill>
            <w14:solidFill>
              <w14:schemeClr w14:val="tx1"/>
            </w14:solidFill>
          </w14:textFill>
        </w:rPr>
        <w:t>申报</w:t>
      </w:r>
      <w:r>
        <w:rPr>
          <w:rFonts w:hint="eastAsia" w:ascii="黑体" w:hAnsi="黑体" w:eastAsia="黑体" w:cs="黑体"/>
          <w:b/>
          <w:bCs/>
          <w:color w:val="000000" w:themeColor="text1"/>
          <w:spacing w:val="7"/>
          <w:sz w:val="44"/>
          <w:szCs w:val="44"/>
          <w:lang w:eastAsia="zh-CN"/>
          <w14:textFill>
            <w14:solidFill>
              <w14:schemeClr w14:val="tx1"/>
            </w14:solidFill>
          </w14:textFill>
        </w:rPr>
        <w:t>指南</w:t>
      </w:r>
    </w:p>
    <w:p w14:paraId="7DBD96A4">
      <w:pPr>
        <w:jc w:val="both"/>
        <w:rPr>
          <w:rFonts w:ascii="宋体" w:hAnsi="宋体" w:eastAsia="宋体"/>
          <w:b/>
          <w:bCs/>
          <w:color w:val="000000" w:themeColor="text1"/>
          <w:sz w:val="44"/>
          <w:szCs w:val="44"/>
          <w:lang w:eastAsia="zh-CN"/>
          <w14:textFill>
            <w14:solidFill>
              <w14:schemeClr w14:val="tx1"/>
            </w14:solidFill>
          </w14:textFill>
        </w:rPr>
      </w:pPr>
    </w:p>
    <w:p w14:paraId="0F664F42">
      <w:pPr>
        <w:spacing w:line="360" w:lineRule="auto"/>
        <w:ind w:firstLine="643" w:firstLineChars="200"/>
        <w:jc w:val="both"/>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t>一、</w:t>
      </w:r>
      <w:r>
        <w:rPr>
          <w:rFonts w:hint="eastAsia" w:ascii="黑体" w:hAnsi="黑体" w:eastAsia="黑体" w:cs="黑体"/>
          <w:b/>
          <w:bCs/>
          <w:color w:val="000000" w:themeColor="text1"/>
          <w:sz w:val="32"/>
          <w:szCs w:val="32"/>
          <w14:textFill>
            <w14:solidFill>
              <w14:schemeClr w14:val="tx1"/>
            </w14:solidFill>
          </w14:textFill>
        </w:rPr>
        <w:t>新智能经济背景下四川数实融合路径研究</w:t>
      </w:r>
    </w:p>
    <w:p w14:paraId="0A2A9FA8">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1.智能经济新形态下四川“十五五”数实融合指标体系构建与测度研究</w:t>
      </w:r>
    </w:p>
    <w:p w14:paraId="203BAADA">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2.人工智能大模型赋能四川传统制造企业智改数转的路径与政策仿真研究</w:t>
      </w:r>
    </w:p>
    <w:p w14:paraId="6B51713A">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3.四川电子信息产业与人工智能融合发展的价值链攀升机制研究</w:t>
      </w:r>
    </w:p>
    <w:p w14:paraId="2E71B103">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4.装备制造业工业大脑建设的四川实践与绩效评估</w:t>
      </w:r>
    </w:p>
    <w:p w14:paraId="5AA08C2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5.食品轻纺产业小单快反智能供应链构建研究</w:t>
      </w:r>
    </w:p>
    <w:p w14:paraId="5C2D28ED">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6.智能经济背景下四川生产性服务业与先进制造业融合发展研究</w:t>
      </w:r>
    </w:p>
    <w:p w14:paraId="4B8802DC">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7.数字孪生工厂在四川航空航天零部件制造中的应用模式研究</w:t>
      </w:r>
    </w:p>
    <w:p w14:paraId="3BE287F1">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8.四川中小企业上云用数赋智的障碍诊断与精准扶持政策研究</w:t>
      </w:r>
    </w:p>
    <w:p w14:paraId="7C85F01B">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9.智能经济新形态下劳动力技能重塑与职业教育适配研究</w:t>
      </w:r>
    </w:p>
    <w:p w14:paraId="3959278E">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10.四川现代工业体系与数字技术融合的产业关联效应研究</w:t>
      </w:r>
    </w:p>
    <w:p w14:paraId="2C4F5438">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11.智能经济新形态下四川数据安全与工业互联网平台协同治理研究</w:t>
      </w:r>
    </w:p>
    <w:p w14:paraId="7A5EB5D1">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12.四川</w:t>
      </w:r>
      <w:bookmarkStart w:id="0" w:name="OLE_LINK6"/>
      <w:r>
        <w:rPr>
          <w:rFonts w:hint="eastAsia" w:ascii="仿宋" w:hAnsi="仿宋" w:eastAsia="仿宋" w:cs="仿宋"/>
          <w:color w:val="000000" w:themeColor="text1"/>
          <w:sz w:val="32"/>
          <w:szCs w:val="32"/>
          <w14:textFill>
            <w14:solidFill>
              <w14:schemeClr w14:val="tx1"/>
            </w14:solidFill>
          </w14:textFill>
        </w:rPr>
        <w:t>数实深度融合</w:t>
      </w:r>
      <w:bookmarkEnd w:id="0"/>
      <w:r>
        <w:rPr>
          <w:rFonts w:hint="eastAsia" w:ascii="仿宋" w:hAnsi="仿宋" w:eastAsia="仿宋" w:cs="仿宋"/>
          <w:color w:val="000000" w:themeColor="text1"/>
          <w:sz w:val="32"/>
          <w:szCs w:val="32"/>
          <w14:textFill>
            <w14:solidFill>
              <w14:schemeClr w14:val="tx1"/>
            </w14:solidFill>
          </w14:textFill>
        </w:rPr>
        <w:t>的区域差异与收敛性分析</w:t>
      </w:r>
    </w:p>
    <w:p w14:paraId="104022BE">
      <w:pPr>
        <w:keepNext w:val="0"/>
        <w:keepLines w:val="0"/>
        <w:pageBreakBefore w:val="0"/>
        <w:widowControl/>
        <w:kinsoku/>
        <w:wordWrap/>
        <w:overflowPunct/>
        <w:topLinePunct w:val="0"/>
        <w:autoSpaceDE/>
        <w:autoSpaceDN/>
        <w:bidi w:val="0"/>
        <w:adjustRightInd/>
        <w:snapToGrid/>
        <w:spacing w:before="157" w:beforeLines="50" w:line="360" w:lineRule="auto"/>
        <w:ind w:firstLine="643" w:firstLineChars="200"/>
        <w:jc w:val="both"/>
        <w:textAlignment w:val="auto"/>
        <w:rPr>
          <w:rFonts w:ascii="Times New Roman" w:hAnsi="Times New Roman" w:eastAsia="楷体" w:cs="Times New Roman"/>
          <w:b/>
          <w:bCs/>
          <w:color w:val="000000" w:themeColor="text1"/>
          <w:sz w:val="32"/>
          <w:szCs w:val="32"/>
          <w14:textFill>
            <w14:solidFill>
              <w14:schemeClr w14:val="tx1"/>
            </w14:solidFill>
          </w14:textFill>
        </w:rPr>
      </w:pPr>
    </w:p>
    <w:p w14:paraId="3E039732">
      <w:pPr>
        <w:spacing w:line="360" w:lineRule="auto"/>
        <w:ind w:firstLine="643" w:firstLineChars="200"/>
        <w:jc w:val="both"/>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pPr>
      <w:r>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t>二、要素市场化下四川数据产业价值释放研究</w:t>
      </w:r>
    </w:p>
    <w:p w14:paraId="15CD5A1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1.数据产权分置运行机制研究：基于四川数据要素登记实践的探索与制度设计</w:t>
      </w:r>
    </w:p>
    <w:p w14:paraId="02056F29">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2.公共数据授权运营的四川模式与合规治理研究</w:t>
      </w:r>
    </w:p>
    <w:p w14:paraId="276E6ADC">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3.数据要素市场化配置改革的四川路径研究</w:t>
      </w:r>
    </w:p>
    <w:p w14:paraId="5206467F">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4.数据标注产业高质量发展研究：以四川建设国家数据标注基地为例</w:t>
      </w:r>
    </w:p>
    <w:p w14:paraId="55CB6867">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5.企业数据资产入表的财务影响与估值模型研究</w:t>
      </w:r>
    </w:p>
    <w:p w14:paraId="7771115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pacing w:val="-6"/>
          <w:sz w:val="32"/>
          <w:szCs w:val="32"/>
          <w14:textFill>
            <w14:solidFill>
              <w14:schemeClr w14:val="tx1"/>
            </w14:solidFill>
          </w14:textFill>
        </w:rPr>
        <w:t>数据产业生态培育的数据商与交易平台协同机制研究</w:t>
      </w:r>
    </w:p>
    <w:p w14:paraId="47B2C285">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7.政府数据开放与企业创新绩效的实证研究</w:t>
      </w:r>
    </w:p>
    <w:p w14:paraId="2FDD3DA9">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w:t>
      </w:r>
      <w:r>
        <w:rPr>
          <w:rFonts w:hint="eastAsia" w:ascii="仿宋" w:hAnsi="仿宋" w:eastAsia="仿宋" w:cs="仿宋"/>
          <w:color w:val="000000" w:themeColor="text1"/>
          <w:spacing w:val="-6"/>
          <w:sz w:val="32"/>
          <w:szCs w:val="32"/>
          <w14:textFill>
            <w14:solidFill>
              <w14:schemeClr w14:val="tx1"/>
            </w14:solidFill>
          </w14:textFill>
        </w:rPr>
        <w:t>数据要素赋能县域特色农业产业链的机制与路径研究</w:t>
      </w:r>
    </w:p>
    <w:p w14:paraId="559351F6">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9.数据垄断与竞争规制：平台经济领域数据不当收集行为的法律经济学分析</w:t>
      </w:r>
    </w:p>
    <w:p w14:paraId="0FBC34D8">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10.数据跨境流动安全评估与四川自贸试验区数据出境管理试点研究</w:t>
      </w:r>
    </w:p>
    <w:p w14:paraId="4243FA37">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11.数据要素统计核算体系研究：基于四川数字经济增加值的测算</w:t>
      </w:r>
    </w:p>
    <w:p w14:paraId="44E2EF37">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12.数据信托与个人数据权益保护的四川创新试点方案研究</w:t>
      </w:r>
    </w:p>
    <w:p w14:paraId="7D8AFCD8">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p>
    <w:p w14:paraId="4A7B457E">
      <w:pPr>
        <w:spacing w:line="360" w:lineRule="auto"/>
        <w:ind w:firstLine="643" w:firstLineChars="200"/>
        <w:jc w:val="both"/>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pPr>
      <w:r>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t>三、数字社会视域下人工智能治理与伦理研究</w:t>
      </w:r>
    </w:p>
    <w:p w14:paraId="5A2543B6">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1.人工智能算法歧视的识别、评估与矫正机制研究</w:t>
      </w:r>
    </w:p>
    <w:p w14:paraId="62A375C1">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2.数字化与老龄化双重叠加下四川省数字鸿沟的测度与包容性治理研究</w:t>
      </w:r>
    </w:p>
    <w:p w14:paraId="1C6435FD">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3.生成式人工智能内容标识与溯源治理研究</w:t>
      </w:r>
    </w:p>
    <w:p w14:paraId="4B77F32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4.数字社会背景下老年人数字排斥的形成机理与干预策略研究</w:t>
      </w:r>
    </w:p>
    <w:p w14:paraId="53B789D0">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5.人工智能就业替代效应与岗位创造效应的动态均衡分析</w:t>
      </w:r>
    </w:p>
    <w:p w14:paraId="432ED351">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6.数字素养提升工程的绩效评估研究：以四川银龄跨越数字鸿沟专项行动为例</w:t>
      </w:r>
    </w:p>
    <w:p w14:paraId="766DB3B2">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pacing w:val="-6"/>
          <w:sz w:val="32"/>
          <w:szCs w:val="32"/>
          <w14:textFill>
            <w14:solidFill>
              <w14:schemeClr w14:val="tx1"/>
            </w14:solidFill>
          </w14:textFill>
        </w:rPr>
        <w:t>算法推荐对青少年价值观塑造的影响及伦理规制研究</w:t>
      </w:r>
    </w:p>
    <w:p w14:paraId="6993BBBB">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8.人工智能医疗诊断的法律责任分配与患者知情同意权保护研究</w:t>
      </w:r>
    </w:p>
    <w:p w14:paraId="6395EFBD">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9.数字政府建设中自动化行政决策的正当程序挑战与应对研究</w:t>
      </w:r>
    </w:p>
    <w:p w14:paraId="0A1B1AB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w:t>
      </w:r>
      <w:r>
        <w:rPr>
          <w:rFonts w:hint="eastAsia" w:ascii="仿宋" w:hAnsi="仿宋" w:eastAsia="仿宋" w:cs="仿宋"/>
          <w:color w:val="000000" w:themeColor="text1"/>
          <w:spacing w:val="-6"/>
          <w:sz w:val="32"/>
          <w:szCs w:val="32"/>
          <w14:textFill>
            <w14:solidFill>
              <w14:schemeClr w14:val="tx1"/>
            </w14:solidFill>
          </w14:textFill>
        </w:rPr>
        <w:t>人工智能生成内容的著作权归属与侵权认定规则研究</w:t>
      </w:r>
    </w:p>
    <w:p w14:paraId="4CDC143A">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11.数字社会脆弱群体的公共服务可及性研究</w:t>
      </w:r>
    </w:p>
    <w:p w14:paraId="3200CEB0">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12.人工智能伦理审查委员会建设标准与运行机制研究</w:t>
      </w:r>
    </w:p>
    <w:p w14:paraId="435591D2">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p>
    <w:p w14:paraId="48BD2097">
      <w:pPr>
        <w:spacing w:line="360" w:lineRule="auto"/>
        <w:ind w:firstLine="643" w:firstLineChars="200"/>
        <w:jc w:val="both"/>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pPr>
      <w:r>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t>四、数字产业集群与区域协同发展路径研究</w:t>
      </w:r>
    </w:p>
    <w:p w14:paraId="5BFA73D0">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1.成渝地区双城经济圈数字产业集群梯次培育与跨行政区协同治理研究</w:t>
      </w:r>
    </w:p>
    <w:p w14:paraId="3239D5FE">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2.东数西算成渝枢纽节点算力基础设施布局与四川区域经济协调发展研究</w:t>
      </w:r>
    </w:p>
    <w:p w14:paraId="182C06C1">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3.四川数字产业集群竞争力测度与提升路径研究</w:t>
      </w:r>
    </w:p>
    <w:p w14:paraId="6C0BCBA3">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4.绵阳科技城数字产业集群创新生态研究</w:t>
      </w:r>
    </w:p>
    <w:p w14:paraId="1B902EE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5.宜宾泸州数字产业差异化发展策略研究</w:t>
      </w:r>
    </w:p>
    <w:p w14:paraId="0563B247">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6.数字低空产业集群培育研究：以自贡航空产业园与南充卫星应用为例</w:t>
      </w:r>
    </w:p>
    <w:p w14:paraId="5CBB1247">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7.成渝数据要素协同配置的障碍、模式与制度创新研究</w:t>
      </w:r>
    </w:p>
    <w:p w14:paraId="0FB90862">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8.数字产业集群政策工具优化研究</w:t>
      </w:r>
    </w:p>
    <w:p w14:paraId="4883623B">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9.成都都市圈数字产业价值链协同与辐射效应研究</w:t>
      </w:r>
    </w:p>
    <w:p w14:paraId="735C47F9">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10.算力资源跨区域调度机制与中小城市算力飞地模式研究</w:t>
      </w:r>
    </w:p>
    <w:p w14:paraId="364213CB">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11.数字产业集群绿色化发展研究：数据中心能耗约束与可再生能源消纳</w:t>
      </w:r>
    </w:p>
    <w:p w14:paraId="1FFE21CC">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12.成渝地区数字营商环境一体化评价与优化策略研究</w:t>
      </w:r>
    </w:p>
    <w:p w14:paraId="09D06069">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p>
    <w:p w14:paraId="459EBC64">
      <w:pPr>
        <w:spacing w:line="360" w:lineRule="auto"/>
        <w:ind w:firstLine="643" w:firstLineChars="200"/>
        <w:jc w:val="both"/>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pPr>
      <w:r>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t>五、四川特色数字经济场景创新与应用研究</w:t>
      </w:r>
    </w:p>
    <w:p w14:paraId="3610C9E5">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1.四川低空智能经济典型场景的商业模式创新与政策适配研究</w:t>
      </w:r>
    </w:p>
    <w:p w14:paraId="349D89A0">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2.数字技术赋能四川文旅深度融合的场景化路径与体验价值评估研究</w:t>
      </w:r>
    </w:p>
    <w:p w14:paraId="085BB228">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3.智慧养老社区场景建设与数字化适老改造研究</w:t>
      </w:r>
    </w:p>
    <w:p w14:paraId="40CE5EC8">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4.老年数字医疗服务场景创新与可及性障碍分析</w:t>
      </w:r>
    </w:p>
    <w:p w14:paraId="4816E59D">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w:t>
      </w:r>
      <w:r>
        <w:rPr>
          <w:rFonts w:hint="eastAsia" w:ascii="仿宋" w:hAnsi="仿宋" w:eastAsia="仿宋" w:cs="仿宋"/>
          <w:color w:val="000000" w:themeColor="text1"/>
          <w:spacing w:val="-6"/>
          <w:sz w:val="32"/>
          <w:szCs w:val="32"/>
          <w14:textFill>
            <w14:solidFill>
              <w14:schemeClr w14:val="tx1"/>
            </w14:solidFill>
          </w14:textFill>
        </w:rPr>
        <w:t>数字技术赋能老年认知障碍早期筛查与干预场景研究</w:t>
      </w:r>
    </w:p>
    <w:p w14:paraId="31739266">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6.老年人数字消费场景构建与参与障碍促进策略研究</w:t>
      </w:r>
    </w:p>
    <w:p w14:paraId="39C42F2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7.代际数字反哺场景下家庭支持对老年人数字能力提升的机制研究</w:t>
      </w:r>
    </w:p>
    <w:p w14:paraId="36515AFC">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8.数字乡村场景创新：县域直播电商基地运营效率与农户增收效应研究</w:t>
      </w:r>
    </w:p>
    <w:p w14:paraId="6A1C466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9.智慧交通场景：城市交通大脑与车路协同示范区的技术集成与效果评估</w:t>
      </w:r>
    </w:p>
    <w:p w14:paraId="59C56A28">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10.数字孪生水利场景在岷江沱江流域防洪减灾中的应用研究</w:t>
      </w:r>
    </w:p>
    <w:p w14:paraId="058655BB">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11.智慧教育场景：四川民族地区云端学校教学模式与教育公平研究</w:t>
      </w:r>
    </w:p>
    <w:p w14:paraId="0D938835">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12.数字非遗场景：四川非物质文化遗产的数字化保护与活态传承模式研究</w:t>
      </w:r>
    </w:p>
    <w:p w14:paraId="0CEE6082">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p>
    <w:p w14:paraId="43136CBC">
      <w:pPr>
        <w:spacing w:line="360" w:lineRule="auto"/>
        <w:ind w:firstLine="643" w:firstLineChars="200"/>
        <w:jc w:val="both"/>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pPr>
      <w:r>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t>六、数智赋能四川实体经济融合创新实践研究</w:t>
      </w:r>
    </w:p>
    <w:p w14:paraId="6A494E62">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1.数字经济赋能四川产业高质量发展路径研究</w:t>
      </w:r>
    </w:p>
    <w:p w14:paraId="52500100">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2.基于多平台协同视角的海外仓布局优化与跨境供应链韧性提升研究</w:t>
      </w:r>
    </w:p>
    <w:p w14:paraId="791CBFC3">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3.数字经济背景下白酒中小企业供应链数字化转型困境与对策研究</w:t>
      </w:r>
    </w:p>
    <w:p w14:paraId="1D8DCC1B">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4.数字经济背景下低空物流企业商业模式创新与盈利路径研究</w:t>
      </w:r>
    </w:p>
    <w:p w14:paraId="0F8CAB5C">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5.数字经济赋能川西北民族地区文旅融合高质量发展机制与路径研究</w:t>
      </w:r>
    </w:p>
    <w:p w14:paraId="2F89893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.基于AIGC的四川非物质文化遗产智能叙事与沉浸式传播研究——以传统技艺类非遗为例</w:t>
      </w:r>
    </w:p>
    <w:p w14:paraId="4E66A4B8">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.智能经济新形态下劳动力技能重塑与职业教育适配研究</w:t>
      </w:r>
    </w:p>
    <w:p w14:paraId="63F361E2">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.数字经济视域下直播电商人才合规素养与心理韧性培育路径研究</w:t>
      </w:r>
    </w:p>
    <w:p w14:paraId="03F2BC82">
      <w:pPr>
        <w:spacing w:line="360" w:lineRule="auto"/>
        <w:ind w:firstLine="640" w:firstLineChars="200"/>
        <w:jc w:val="both"/>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9.智能教育环境下教师职业倦怠纾解与成长激励研究</w:t>
      </w:r>
    </w:p>
    <w:p w14:paraId="651E4B35">
      <w:pPr>
        <w:spacing w:line="360" w:lineRule="auto"/>
        <w:ind w:firstLine="640" w:firstLineChars="200"/>
        <w:jc w:val="both"/>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10.成都市直播电商产业研究</w:t>
      </w:r>
    </w:p>
    <w:p w14:paraId="2BB6F18E">
      <w:pPr>
        <w:spacing w:line="360" w:lineRule="auto"/>
        <w:ind w:firstLine="640" w:firstLineChars="200"/>
        <w:jc w:val="both"/>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11.成都市农村电商发展研究</w:t>
      </w:r>
    </w:p>
    <w:p w14:paraId="03B4D38B">
      <w:pPr>
        <w:spacing w:line="360" w:lineRule="auto"/>
        <w:ind w:firstLine="640" w:firstLineChars="200"/>
        <w:jc w:val="both"/>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12.成都市本土电商平台企业培育研究</w:t>
      </w:r>
    </w:p>
    <w:p w14:paraId="363140E8">
      <w:pPr>
        <w:spacing w:line="360" w:lineRule="auto"/>
        <w:ind w:firstLine="640" w:firstLineChars="200"/>
        <w:jc w:val="both"/>
        <w:rPr>
          <w:rFonts w:hint="default" w:ascii="仿宋" w:hAnsi="仿宋" w:eastAsia="仿宋" w:cs="仿宋"/>
          <w:color w:val="000000" w:themeColor="text1"/>
          <w:sz w:val="32"/>
          <w:szCs w:val="32"/>
          <w:lang w:val="en-US" w:eastAsia="zh-CN"/>
          <w14:textFill>
            <w14:solidFill>
              <w14:schemeClr w14:val="tx1"/>
            </w14:solidFill>
          </w14:textFill>
        </w:rPr>
      </w:pPr>
    </w:p>
    <w:p w14:paraId="58C7AAC7">
      <w:pPr>
        <w:spacing w:line="360" w:lineRule="auto"/>
        <w:ind w:firstLine="643" w:firstLineChars="200"/>
        <w:jc w:val="both"/>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pPr>
      <w:r>
        <w:rPr>
          <w:rFonts w:hint="eastAsia" w:ascii="黑体" w:hAnsi="黑体" w:eastAsia="黑体" w:cs="黑体"/>
          <w:b/>
          <w:bCs/>
          <w:color w:val="000000" w:themeColor="text1"/>
          <w:kern w:val="2"/>
          <w:sz w:val="32"/>
          <w:szCs w:val="32"/>
          <w:lang w:val="en-US" w:eastAsia="zh-CN" w:bidi="ar-SA"/>
          <w14:textFill>
            <w14:solidFill>
              <w14:schemeClr w14:val="tx1"/>
            </w14:solidFill>
          </w14:textFill>
          <w14:ligatures w14:val="standardContextual"/>
        </w:rPr>
        <w:t>七、产教融合视角下直播电商标准化体系研究（该板块的课题有经费支持）</w:t>
      </w:r>
    </w:p>
    <w:p w14:paraId="7E81F7EA">
      <w:pPr>
        <w:spacing w:line="360" w:lineRule="auto"/>
        <w:ind w:firstLine="643" w:firstLineChars="200"/>
        <w:jc w:val="both"/>
        <w:rPr>
          <w:rFonts w:hint="eastAsia" w:ascii="黑体" w:hAnsi="黑体" w:eastAsia="黑体" w:cs="黑体"/>
          <w:b/>
          <w:bCs/>
          <w:color w:val="000000" w:themeColor="text1"/>
          <w:sz w:val="32"/>
          <w:szCs w:val="32"/>
          <w:lang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w:t>
      </w:r>
      <w:r>
        <w:rPr>
          <w:rFonts w:hint="eastAsia" w:ascii="黑体" w:hAnsi="黑体" w:eastAsia="黑体" w:cs="黑体"/>
          <w:b/>
          <w:bCs/>
          <w:color w:val="000000" w:themeColor="text1"/>
          <w:sz w:val="32"/>
          <w:szCs w:val="32"/>
          <w:lang w:val="en-US" w:eastAsia="zh-CN"/>
          <w14:textFill>
            <w14:solidFill>
              <w14:schemeClr w14:val="tx1"/>
            </w14:solidFill>
          </w14:textFill>
        </w:rPr>
        <w:t>一</w:t>
      </w:r>
      <w:r>
        <w:rPr>
          <w:rFonts w:hint="eastAsia" w:ascii="黑体" w:hAnsi="黑体" w:eastAsia="黑体" w:cs="黑体"/>
          <w:b/>
          <w:bCs/>
          <w:color w:val="000000" w:themeColor="text1"/>
          <w:sz w:val="32"/>
          <w:szCs w:val="32"/>
          <w:lang w:eastAsia="zh-CN"/>
          <w14:textFill>
            <w14:solidFill>
              <w14:schemeClr w14:val="tx1"/>
            </w14:solidFill>
          </w14:textFill>
        </w:rPr>
        <w:t>）</w:t>
      </w:r>
      <w:r>
        <w:rPr>
          <w:rFonts w:hint="eastAsia" w:ascii="黑体" w:hAnsi="黑体" w:eastAsia="黑体" w:cs="黑体"/>
          <w:b/>
          <w:bCs/>
          <w:color w:val="000000" w:themeColor="text1"/>
          <w:sz w:val="32"/>
          <w:szCs w:val="32"/>
          <w:lang w:val="en-US" w:eastAsia="zh-CN"/>
          <w14:textFill>
            <w14:solidFill>
              <w14:schemeClr w14:val="tx1"/>
            </w14:solidFill>
          </w14:textFill>
        </w:rPr>
        <w:t>重点课题</w:t>
      </w:r>
    </w:p>
    <w:p w14:paraId="2FD79C27">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.数字经济背景下高职电子商务专业“标准化+”课程体系构建与教学资源开发研究</w:t>
      </w:r>
    </w:p>
    <w:p w14:paraId="73724CAA">
      <w:pPr>
        <w:spacing w:line="360" w:lineRule="auto"/>
        <w:ind w:firstLine="640" w:firstLineChars="200"/>
        <w:jc w:val="both"/>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2.数字经济新职业人才培训规范研究——以直播营销人员为例</w:t>
      </w:r>
    </w:p>
    <w:p w14:paraId="3CB5D341">
      <w:pPr>
        <w:spacing w:line="360" w:lineRule="auto"/>
        <w:ind w:firstLine="640" w:firstLineChars="200"/>
        <w:jc w:val="both"/>
        <w:rPr>
          <w:rFonts w:hint="eastAsia" w:ascii="仿宋" w:hAnsi="仿宋" w:eastAsia="仿宋" w:cs="仿宋"/>
          <w:color w:val="000000" w:themeColor="text1"/>
          <w:sz w:val="32"/>
          <w:szCs w:val="32"/>
          <w:lang w:val="en-US" w:eastAsia="zh-CN"/>
          <w14:textFill>
            <w14:solidFill>
              <w14:schemeClr w14:val="tx1"/>
            </w14:solidFill>
          </w14:textFill>
        </w:rPr>
      </w:pPr>
    </w:p>
    <w:p w14:paraId="19695B34">
      <w:pPr>
        <w:spacing w:line="360" w:lineRule="auto"/>
        <w:ind w:firstLine="643" w:firstLineChars="200"/>
        <w:jc w:val="both"/>
        <w:rPr>
          <w:rFonts w:hint="default"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w:t>
      </w:r>
      <w:r>
        <w:rPr>
          <w:rFonts w:hint="eastAsia" w:ascii="黑体" w:hAnsi="黑体" w:eastAsia="黑体" w:cs="黑体"/>
          <w:b/>
          <w:bCs/>
          <w:color w:val="000000" w:themeColor="text1"/>
          <w:sz w:val="32"/>
          <w:szCs w:val="32"/>
          <w:lang w:val="en-US" w:eastAsia="zh-CN"/>
          <w14:textFill>
            <w14:solidFill>
              <w14:schemeClr w14:val="tx1"/>
            </w14:solidFill>
          </w14:textFill>
        </w:rPr>
        <w:t>二</w:t>
      </w:r>
      <w:r>
        <w:rPr>
          <w:rFonts w:hint="eastAsia" w:ascii="黑体" w:hAnsi="黑体" w:eastAsia="黑体" w:cs="黑体"/>
          <w:b/>
          <w:bCs/>
          <w:color w:val="000000" w:themeColor="text1"/>
          <w:sz w:val="32"/>
          <w:szCs w:val="32"/>
          <w:lang w:eastAsia="zh-CN"/>
          <w14:textFill>
            <w14:solidFill>
              <w14:schemeClr w14:val="tx1"/>
            </w14:solidFill>
          </w14:textFill>
        </w:rPr>
        <w:t>）</w:t>
      </w:r>
      <w:r>
        <w:rPr>
          <w:rFonts w:hint="eastAsia" w:ascii="黑体" w:hAnsi="黑体" w:eastAsia="黑体" w:cs="黑体"/>
          <w:b/>
          <w:bCs/>
          <w:color w:val="000000" w:themeColor="text1"/>
          <w:sz w:val="32"/>
          <w:szCs w:val="32"/>
          <w:lang w:val="en-US" w:eastAsia="zh-CN"/>
          <w14:textFill>
            <w14:solidFill>
              <w14:schemeClr w14:val="tx1"/>
            </w14:solidFill>
          </w14:textFill>
        </w:rPr>
        <w:t>一般课题</w:t>
      </w:r>
    </w:p>
    <w:p w14:paraId="12A6FC35">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人工智能就业替代效应与岗位创造效应的动态均衡分析</w:t>
      </w:r>
    </w:p>
    <w:p w14:paraId="5BFEB55C">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基于能力本位的高职电子商务标准化人才“四维一体”综合评价体系研究</w:t>
      </w:r>
    </w:p>
    <w:p w14:paraId="24DEEA05">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pacing w:val="-6"/>
          <w:sz w:val="32"/>
          <w:szCs w:val="32"/>
          <w14:textFill>
            <w14:solidFill>
              <w14:schemeClr w14:val="tx1"/>
            </w14:solidFill>
          </w14:textFill>
        </w:rPr>
        <w:t>新质生产力视角下直播电商标准化人才培养路径研究</w:t>
      </w:r>
    </w:p>
    <w:p w14:paraId="6463B112">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高职电子商务专业“岗课赛证”融通与标准嵌入的协同机制研究</w:t>
      </w:r>
    </w:p>
    <w:p w14:paraId="6445D017">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职业院校“专业+标准化”教育融合试点的治理机制与四方协同模式研究</w:t>
      </w:r>
    </w:p>
    <w:p w14:paraId="6F78BB8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数字化转型下高职电商专业标准化实训平台（虚拟仿真+实景实操）的建设与应用研究</w:t>
      </w:r>
    </w:p>
    <w:p w14:paraId="1BFE6F10">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基于成果导向教育（OBE）的高职电子商务标准化核心能力培养与课程改革实践研究</w:t>
      </w:r>
    </w:p>
    <w:p w14:paraId="59529407">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产教融合视域下高职电子商务“三师协同”标准化师资培养模式研究</w:t>
      </w:r>
    </w:p>
    <w:p w14:paraId="5CBD2042">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pacing w:val="-6"/>
          <w:sz w:val="32"/>
          <w:szCs w:val="32"/>
          <w14:textFill>
            <w14:solidFill>
              <w14:schemeClr w14:val="tx1"/>
            </w14:solidFill>
          </w14:textFill>
        </w:rPr>
        <w:t>面向四川中小微企业的标准化教育社会服务模式研究</w:t>
      </w:r>
    </w:p>
    <w:p w14:paraId="2237B17B">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.产教融合视域下高职电子商务“三师协同”标准化师资培养模式研究</w:t>
      </w:r>
    </w:p>
    <w:p w14:paraId="616D3405">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pacing w:val="-6"/>
          <w:sz w:val="32"/>
          <w:szCs w:val="32"/>
          <w14:textFill>
            <w14:solidFill>
              <w14:schemeClr w14:val="tx1"/>
            </w14:solidFill>
          </w14:textFill>
        </w:rPr>
        <w:t>面向四川中小微企业的标准化教育社会服务模式研究</w:t>
      </w:r>
    </w:p>
    <w:p w14:paraId="2A8BEE84">
      <w:pPr>
        <w:spacing w:line="360" w:lineRule="auto"/>
        <w:ind w:firstLine="640" w:firstLineChars="200"/>
        <w:jc w:val="both"/>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12.“岗课赛证” 融合下直播电商标准化课程与实训体系建设研究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160D62-9808-4F07-9FEA-60E542150F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C60DF04D-377C-4437-9AC0-B901A82148F9}"/>
  </w:font>
  <w:font w:name="楷体">
    <w:panose1 w:val="02010609060101010101"/>
    <w:charset w:val="86"/>
    <w:family w:val="modern"/>
    <w:pitch w:val="default"/>
    <w:sig w:usb0="800002BF" w:usb1="38CF7CFA" w:usb2="00000016" w:usb3="00000000" w:csb0="00040001" w:csb1="00000000"/>
    <w:embedRegular r:id="rId3" w:fontKey="{1228B8E8-C4D5-4D52-9C25-1F29A638D7F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MWY4NmM2NjAzYzFjODBkYTA5NTJlODRjZGNlNGEifQ=="/>
  </w:docVars>
  <w:rsids>
    <w:rsidRoot w:val="00F0690F"/>
    <w:rsid w:val="00062DF3"/>
    <w:rsid w:val="000A68DF"/>
    <w:rsid w:val="000B07E3"/>
    <w:rsid w:val="000E45D2"/>
    <w:rsid w:val="00213C7E"/>
    <w:rsid w:val="002B52E3"/>
    <w:rsid w:val="002E75D4"/>
    <w:rsid w:val="002F5F96"/>
    <w:rsid w:val="00337ADE"/>
    <w:rsid w:val="003C705A"/>
    <w:rsid w:val="005613C8"/>
    <w:rsid w:val="005E4274"/>
    <w:rsid w:val="006E31A6"/>
    <w:rsid w:val="007A73C2"/>
    <w:rsid w:val="0086416A"/>
    <w:rsid w:val="008C16BB"/>
    <w:rsid w:val="00994CBE"/>
    <w:rsid w:val="009F044F"/>
    <w:rsid w:val="00A521A4"/>
    <w:rsid w:val="00AC7F56"/>
    <w:rsid w:val="00B87F85"/>
    <w:rsid w:val="00BC14B6"/>
    <w:rsid w:val="00CC4968"/>
    <w:rsid w:val="00D9109A"/>
    <w:rsid w:val="00E04B41"/>
    <w:rsid w:val="00E12F32"/>
    <w:rsid w:val="00F0690F"/>
    <w:rsid w:val="00FC006E"/>
    <w:rsid w:val="05243941"/>
    <w:rsid w:val="09F20B7E"/>
    <w:rsid w:val="0D8639F0"/>
    <w:rsid w:val="0DA73361"/>
    <w:rsid w:val="1BA030C6"/>
    <w:rsid w:val="23005B11"/>
    <w:rsid w:val="23B331BA"/>
    <w:rsid w:val="27233601"/>
    <w:rsid w:val="2CDB4661"/>
    <w:rsid w:val="69FE6E07"/>
    <w:rsid w:val="7718748E"/>
    <w:rsid w:val="7BBD73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bidi="zh-CN"/>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Unresolved Mention"/>
    <w:basedOn w:val="6"/>
    <w:semiHidden/>
    <w:unhideWhenUsed/>
    <w:qFormat/>
    <w:uiPriority w:val="99"/>
    <w:rPr>
      <w:color w:val="605E5C"/>
      <w:shd w:val="clear" w:color="auto" w:fill="E1DFDD"/>
    </w:rPr>
  </w:style>
  <w:style w:type="character" w:customStyle="1" w:styleId="9">
    <w:name w:val="页眉 Char"/>
    <w:basedOn w:val="6"/>
    <w:link w:val="4"/>
    <w:semiHidden/>
    <w:qFormat/>
    <w:uiPriority w:val="99"/>
    <w:rPr>
      <w:kern w:val="2"/>
      <w:sz w:val="18"/>
      <w:szCs w:val="18"/>
    </w:rPr>
  </w:style>
  <w:style w:type="character" w:customStyle="1" w:styleId="10">
    <w:name w:val="页脚 Char"/>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2446</Words>
  <Characters>2561</Characters>
  <Lines>3</Lines>
  <Paragraphs>1</Paragraphs>
  <TotalTime>0</TotalTime>
  <ScaleCrop>false</ScaleCrop>
  <LinksUpToDate>false</LinksUpToDate>
  <CharactersWithSpaces>2563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2023-07-26T07:17:00Z</dcterms:created>
  <dc:creator>Lin Deng</dc:creator>
  <cp:lastModifiedBy>WPS_1480942246</cp:lastModifiedBy>
  <dcterms:modified xsi:type="dcterms:W3CDTF">2026-07-25T05:31:15Z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9AA89677F6744CAEA946D8116E2F352A_13</vt:lpwstr>
  </property>
  <property fmtid="{D5CDD505-2E9C-101B-9397-08002B2CF9AE}" pid="4" name="KSOTemplateDocerSaveRecord">
    <vt:lpwstr>eyJoZGlkIjoiNjc3MWY4NmM2NjAzYzFjODBkYTA5NTJlODRjZGNlNGEiLCJ1c2VySWQiOiIyNTUwNzAyNDgifQ==</vt:lpwstr>
  </property>
</Properties>
</file>