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cs="宋体"/>
          <w:b/>
          <w:bCs/>
          <w:kern w:val="0"/>
          <w:sz w:val="44"/>
          <w:szCs w:val="44"/>
          <w:lang w:val="en-US" w:eastAsia="zh-CN" w:bidi="ar-SA"/>
        </w:rPr>
        <w:t>度全国教育科学规划教育体系研究专项项目的通知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w:t>
      </w:r>
      <w:r>
        <w:rPr>
          <w:rFonts w:hint="eastAsia" w:ascii="仿宋_GB2312" w:hAnsi="宋体" w:eastAsia="仿宋_GB2312" w:cs="宋体"/>
          <w:b w:val="0"/>
          <w:bCs w:val="0"/>
          <w:kern w:val="0"/>
          <w:sz w:val="32"/>
          <w:szCs w:val="32"/>
          <w:lang w:val="en-US" w:eastAsia="zh-CN" w:bidi="ar-SA"/>
        </w:rPr>
        <w:t>度全国教育科学规划教育体系研究专项项目</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w:t>
      </w:r>
      <w:r>
        <w:rPr>
          <w:rFonts w:hint="eastAsia" w:ascii="仿宋_GB2312" w:hAnsi="宋体" w:eastAsia="仿宋_GB2312" w:cs="宋体"/>
          <w:kern w:val="0"/>
          <w:sz w:val="32"/>
          <w:szCs w:val="32"/>
          <w:lang w:val="en-US" w:eastAsia="zh-CN" w:bidi="zh-CN"/>
        </w:rPr>
        <w:t>和教育部规划系统同时</w:t>
      </w:r>
      <w:r>
        <w:rPr>
          <w:rFonts w:hint="eastAsia" w:ascii="仿宋_GB2312" w:hAnsi="宋体" w:eastAsia="仿宋_GB2312" w:cs="宋体"/>
          <w:kern w:val="0"/>
          <w:sz w:val="32"/>
          <w:szCs w:val="32"/>
          <w:lang w:val="zh-CN" w:eastAsia="zh-CN" w:bidi="zh-CN"/>
        </w:rPr>
        <w:t>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20</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课题打印申报书1份，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6</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立项后课题级别认定（重大、重点项目为国家级A;一般项目为国家级B</w:t>
      </w:r>
      <w:bookmarkStart w:id="2" w:name="_GoBack"/>
      <w:bookmarkEnd w:id="2"/>
      <w:r>
        <w:rPr>
          <w:rFonts w:hint="eastAsia" w:ascii="仿宋_GB2312" w:eastAsia="仿宋_GB2312"/>
          <w:sz w:val="32"/>
          <w:szCs w:val="32"/>
          <w:lang w:val="en-US" w:eastAsia="zh-CN"/>
        </w:rPr>
        <w:t>）。</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2026年6月3日</w:t>
      </w:r>
    </w:p>
    <w:p w14:paraId="7182648B">
      <w:pPr>
        <w:rPr>
          <w:rFonts w:ascii="Arial"/>
          <w:sz w:val="21"/>
        </w:rPr>
      </w:pPr>
      <w:r>
        <w:rPr>
          <w:rFonts w:ascii="Arial"/>
          <w:sz w:val="21"/>
        </w:rPr>
        <w:br w:type="page"/>
      </w:r>
    </w:p>
    <w:p w14:paraId="4704D537">
      <w:pPr>
        <w:pStyle w:val="7"/>
        <w:keepNext w:val="0"/>
        <w:keepLines w:val="0"/>
        <w:widowControl/>
        <w:suppressLineNumbers w:val="0"/>
        <w:spacing w:line="315" w:lineRule="atLeast"/>
        <w:ind w:left="0" w:right="0"/>
        <w:jc w:val="center"/>
      </w:pPr>
      <w:r>
        <w:rPr>
          <w:rFonts w:hint="eastAsia" w:cs="宋体"/>
          <w:b/>
          <w:bCs/>
          <w:kern w:val="0"/>
          <w:sz w:val="44"/>
          <w:szCs w:val="44"/>
          <w:lang w:val="en-US" w:eastAsia="zh-CN" w:bidi="ar-SA"/>
        </w:rPr>
        <w:t>全国教育科学规划教育体系研究专项项目</w:t>
      </w:r>
    </w:p>
    <w:p w14:paraId="5A775F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经教育部党组会审议批准，为做好全国教育科学规划终身教育体系研究专项（以下简称终身专项）申报工作，现就有关事项公告如下。</w:t>
      </w:r>
    </w:p>
    <w:p w14:paraId="704322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ascii="黑体" w:hAnsi="宋体" w:eastAsia="黑体" w:cs="黑体"/>
          <w:i w:val="0"/>
          <w:iCs w:val="0"/>
          <w:caps w:val="0"/>
          <w:snapToGrid w:val="0"/>
          <w:color w:val="000000"/>
          <w:spacing w:val="0"/>
          <w:kern w:val="0"/>
          <w:sz w:val="32"/>
          <w:szCs w:val="32"/>
          <w:bdr w:val="none" w:color="auto" w:sz="0" w:space="0"/>
          <w:shd w:val="clear" w:fill="FFFFFF"/>
          <w:lang w:val="en-US" w:eastAsia="zh-CN" w:bidi="ar"/>
        </w:rPr>
        <w:t>一、专项目的</w:t>
      </w:r>
    </w:p>
    <w:p w14:paraId="07A20C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终身专项面向《教育强国建设规划纲要（</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2024</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2035</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关于“构建泛在可及的终身教育体系”、党的二十届四中全会关于“优化终身学习公共服务”和《中华人民共和国国民经济和社会发展第十五个五年规划纲要》关于“优化终身学习公共服务，完善国家开放大学体系”的战略部署开展研究，强调研究与实践相结合，为构建泛在可及的终身教育体系、优化终身学习公共服务提供理论支撑和决策参考。</w:t>
      </w:r>
    </w:p>
    <w:p w14:paraId="119CD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bdr w:val="none" w:color="auto" w:sz="0" w:space="0"/>
          <w:shd w:val="clear" w:fill="FFFFFF"/>
          <w:lang w:val="en-US" w:eastAsia="zh-CN" w:bidi="ar"/>
        </w:rPr>
        <w:t>二、选题指南</w:t>
      </w:r>
    </w:p>
    <w:p w14:paraId="6E05A9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申报终身专项，必须使用指南中的题目，并按照指南意图对研究进行设计，不可调整。自拟选题不予受理。每个选题原则上只确立</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个立项项目。</w:t>
      </w:r>
    </w:p>
    <w:p w14:paraId="6A7E0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bdr w:val="none" w:color="auto" w:sz="0" w:space="0"/>
          <w:shd w:val="clear" w:fill="FFFFFF"/>
          <w:lang w:val="en-US" w:eastAsia="zh-CN" w:bidi="ar"/>
        </w:rPr>
        <w:t>三、资助额度</w:t>
      </w:r>
    </w:p>
    <w:p w14:paraId="58233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专项项目类别和资助额度分别为：重大项目，每项资助额度为</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60</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万元；重点项目，每项资助额度为</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35</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万元；一般项目，每项资助额度为</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20</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万元。</w:t>
      </w:r>
    </w:p>
    <w:p w14:paraId="4A2FF4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bdr w:val="none" w:color="auto" w:sz="0" w:space="0"/>
          <w:shd w:val="clear" w:fill="FFFFFF"/>
          <w:lang w:val="en-US" w:eastAsia="zh-CN" w:bidi="ar"/>
        </w:rPr>
        <w:t>四、申报条件</w:t>
      </w:r>
    </w:p>
    <w:p w14:paraId="7C7E6C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（一）项目申请人须具备下列条件</w:t>
      </w:r>
    </w:p>
    <w:p w14:paraId="40A4E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申请人须遵守中华人民共和国宪法和法律，坚持正确的政治方向、价值取向和研究导向，遵守全国教育科学规划项目有关管理规定。</w:t>
      </w:r>
    </w:p>
    <w:p w14:paraId="389138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专项主要面向开放大学和高等学校，部委直属单位，省级及以上研究机构、党校（行政学院）等机构的研究人员。</w:t>
      </w:r>
    </w:p>
    <w:p w14:paraId="1182B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申报重大项目须具有正高级专业技术职称，或担任厅局级（含）以上领导职务；申报重点项目和一般项目须具有副高级（含）以上专业技术职称，或担任厅局级（含）以上领导职务，或具有博士学位。项目组成员须包含开放大学在职教学或科研人员。</w:t>
      </w:r>
    </w:p>
    <w:p w14:paraId="59A2F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snapToGrid w:val="0"/>
          <w:color w:val="000000"/>
          <w:spacing w:val="0"/>
          <w:kern w:val="0"/>
          <w:sz w:val="21"/>
          <w:szCs w:val="21"/>
          <w:bdr w:val="none" w:color="auto" w:sz="0" w:space="0"/>
          <w:shd w:val="clear" w:fill="FFFFFF"/>
          <w:lang w:val="en-US" w:eastAsia="zh-CN" w:bidi="ar"/>
        </w:rPr>
        <w:t> </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w:t>
      </w:r>
    </w:p>
    <w:p w14:paraId="2D155D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凡以博士学位论文或博士后出站报告为基础申报本次终身专项，须在《全国教育科学规划项目申请书》（以下简称《申请书》）中，注明所申请项目与学位论文（出站报告）的联系和区别，申请鉴定结项时须提交学位论文（出站报告）原件。不得以与已发表、出版的内容基本相同的研究成果申报终身专项。</w:t>
      </w:r>
    </w:p>
    <w:p w14:paraId="7BC492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（二）项目申请人所在单位须具备下列条件</w:t>
      </w:r>
    </w:p>
    <w:p w14:paraId="2C412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在相关领域具有较强的师资队伍、科研力量和扎实的学术积累，或丰富的实践经验。</w:t>
      </w:r>
    </w:p>
    <w:p w14:paraId="298C85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设有专门负责科研管理工作的职能部门。</w:t>
      </w:r>
    </w:p>
    <w:p w14:paraId="6FA16B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能够为开展研究工作提供必要条件，并承诺信誉保证。</w:t>
      </w:r>
    </w:p>
    <w:p w14:paraId="090C4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bdr w:val="none" w:color="auto" w:sz="0" w:space="0"/>
          <w:shd w:val="clear" w:fill="FFFFFF"/>
          <w:lang w:val="en-US" w:eastAsia="zh-CN" w:bidi="ar"/>
        </w:rPr>
        <w:t>五、申报要求</w:t>
      </w:r>
    </w:p>
    <w:p w14:paraId="2BD078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终身专项申报不限额。各二级管理机构和申请单位要着力提高申报质量，宁缺毋滥。</w:t>
      </w:r>
    </w:p>
    <w:p w14:paraId="11FC9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专项研究年限为</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2-3</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年，不得延期。一般项目，要求至少提交</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篇决策咨询报告被《全国教育科学规划课题成果要报》刊发、或被专项合作单位领导肯定性批示、或被专项合作单位及以上党政机关的内刊刊发，同时至少发表</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篇中文核心期刊（或</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CSSCI</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SCI</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SSCI</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A&amp;HCI</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）论文。重大项目和重点项目的成果要求须高于一般项目，成果形式、数量和级别与资助金额和研究年限相匹配。</w:t>
      </w:r>
    </w:p>
    <w:p w14:paraId="526CD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申请人应按照《全国教育科学规划课题管理办法》和全国教育科学规划项目资金管理有关办法（详见网站</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instrText xml:space="preserve"> HYPERLINK "https://onsgep.moe.edu.cn/" </w:instrTex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separate"/>
      </w:r>
      <w:r>
        <w:rPr>
          <w:rStyle w:val="14"/>
          <w:rFonts w:hint="default" w:ascii="Times New Roman" w:hAnsi="Times New Roman" w:cs="Times New Roman"/>
          <w:i w:val="0"/>
          <w:iCs w:val="0"/>
          <w:caps w:val="0"/>
          <w:spacing w:val="0"/>
          <w:sz w:val="32"/>
          <w:szCs w:val="32"/>
          <w:u w:val="none"/>
          <w:bdr w:val="none" w:color="auto" w:sz="0" w:space="0"/>
          <w:shd w:val="clear" w:fill="FFFFFF"/>
        </w:rPr>
        <w:t>https://onsgep.moe.edu.cn/</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end"/>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）的要求，根据实际需要编制科学合理的经费预算。</w:t>
      </w:r>
    </w:p>
    <w:p w14:paraId="33ECA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申请人应严格按照《申请书》和《活页》要求，如实填写材料，确保不存在知识产权争议和科研失信行为。对存在弄虚作假、抄袭剽窃等科研不端行为的，一经查实，</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年内不得申报全国教育科学规划项目；已获立项的，立即撤项并通报批评，纳入科研信用不良记录，并责成所在单位依规追责。</w:t>
      </w:r>
    </w:p>
    <w:p w14:paraId="1E8F24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获准立项的《申请书》视为具有约束力的资助合同文本。项目负责人应遵守相关承诺，履行约定义务，按期完成研究任务；申报时承诺的预期研究成果为结项时必须达到的要件，不得擅自变更。</w:t>
      </w:r>
    </w:p>
    <w:p w14:paraId="61439F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bdr w:val="none" w:color="auto" w:sz="0" w:space="0"/>
          <w:shd w:val="clear" w:fill="FFFFFF"/>
          <w:lang w:val="en-US" w:eastAsia="zh-CN" w:bidi="ar"/>
        </w:rPr>
        <w:t>六、工作安排</w:t>
      </w:r>
    </w:p>
    <w:p w14:paraId="0B8FF2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本年度终身专项实行网络申报。“全国教育科学规划管理平台”（</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instrText xml:space="preserve"> HYPERLINK "https://202.205.185.227/" </w:instrTex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separate"/>
      </w:r>
      <w:r>
        <w:rPr>
          <w:rStyle w:val="14"/>
          <w:rFonts w:hint="default" w:ascii="Times New Roman" w:hAnsi="Times New Roman" w:cs="Times New Roman"/>
          <w:i w:val="0"/>
          <w:iCs w:val="0"/>
          <w:caps w:val="0"/>
          <w:spacing w:val="0"/>
          <w:sz w:val="32"/>
          <w:szCs w:val="32"/>
          <w:u w:val="none"/>
          <w:bdr w:val="none" w:color="auto" w:sz="0" w:space="0"/>
          <w:shd w:val="clear" w:fill="FFFFFF"/>
        </w:rPr>
        <w:t>https://202.205.185.227/</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end"/>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56441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（一）申报时间安排</w:t>
      </w:r>
    </w:p>
    <w:p w14:paraId="202E67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申报系统于</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2026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10</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日零时至</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25</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日</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17</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时开放。在此期间申请人可登录平台，填写并导出《申请书》，签字并加盖单位公章后，全文扫描在一个文档中，跟</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PDF</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版本的《活页》一起提交到平台上。要确保线上线下《申请书》和《活页》内容完全一致。逾期系统自动关闭，不再受理申报（由省级教育科学规划办管理的单位需在此段时间内同步完成审核提交）。</w:t>
      </w:r>
    </w:p>
    <w:p w14:paraId="047042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（二）审核时间安排</w:t>
      </w:r>
    </w:p>
    <w:p w14:paraId="413F33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二级管理单位网上审核提交截止时间为</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2026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日</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17</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5DABF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（三）立项后材料报送安排</w:t>
      </w:r>
    </w:p>
    <w:p w14:paraId="11BF76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29E88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若有问题需咨询，请先查看《</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202</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年全国教育科学规划各类项目申报常见问题答疑》和《</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instrText xml:space="preserve"> HYPERLINK "https://202.205.185.227/indexAction!do_downLoad.action?fId=ff8080818f527e3a018f5b2a02b21127" </w:instrTex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separate"/>
      </w:r>
      <w:r>
        <w:rPr>
          <w:rStyle w:val="14"/>
          <w:rFonts w:hint="default" w:ascii="仿宋_GB2312" w:hAnsi="Times New Roman" w:eastAsia="仿宋_GB2312" w:cs="仿宋_GB2312"/>
          <w:i w:val="0"/>
          <w:iCs w:val="0"/>
          <w:caps w:val="0"/>
          <w:spacing w:val="0"/>
          <w:sz w:val="32"/>
          <w:szCs w:val="32"/>
          <w:u w:val="none"/>
          <w:bdr w:val="none" w:color="auto" w:sz="0" w:space="0"/>
          <w:shd w:val="clear" w:fill="FFFFFF"/>
        </w:rPr>
        <w:t>全国教育科学规划管理平台操作手册</w:t>
      </w:r>
      <w:r>
        <w:rPr>
          <w:rStyle w:val="14"/>
          <w:rFonts w:hint="default" w:ascii="Times New Roman" w:hAnsi="Times New Roman" w:cs="Times New Roman"/>
          <w:i w:val="0"/>
          <w:iCs w:val="0"/>
          <w:caps w:val="0"/>
          <w:spacing w:val="0"/>
          <w:sz w:val="32"/>
          <w:szCs w:val="32"/>
          <w:u w:val="none"/>
          <w:bdr w:val="none" w:color="auto" w:sz="0" w:space="0"/>
          <w:shd w:val="clear" w:fill="FFFFFF"/>
        </w:rPr>
        <w:t>—</w:t>
      </w:r>
      <w:r>
        <w:rPr>
          <w:rStyle w:val="14"/>
          <w:rFonts w:hint="default" w:ascii="仿宋_GB2312" w:hAnsi="Times New Roman" w:eastAsia="仿宋_GB2312" w:cs="仿宋_GB2312"/>
          <w:i w:val="0"/>
          <w:iCs w:val="0"/>
          <w:caps w:val="0"/>
          <w:spacing w:val="0"/>
          <w:sz w:val="32"/>
          <w:szCs w:val="32"/>
          <w:u w:val="none"/>
          <w:bdr w:val="none" w:color="auto" w:sz="0" w:space="0"/>
          <w:shd w:val="clear" w:fill="FFFFFF"/>
        </w:rPr>
        <w:t>其他类别项目申报</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end"/>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》。再有疑问，二级管理单位咨询全规办，地方高校请先咨询本省教育科学规划办（省级教育科学规划办电话请上管理平台的“通知公告”栏目查询）。</w:t>
      </w:r>
    </w:p>
    <w:p w14:paraId="6E0F6F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 </w:t>
      </w:r>
    </w:p>
    <w:p w14:paraId="5F5E8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64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全规办咨询电话：</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010—62003909</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62003308</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w:t>
      </w:r>
    </w:p>
    <w:p w14:paraId="626396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平台系统及技术问题请咨询</w:t>
      </w: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400-800-1636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，电子信箱：</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instrText xml:space="preserve"> HYPERLINK "mailto:support@e-plugger.com%E3%80%82" </w:instrTex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separate"/>
      </w:r>
      <w:r>
        <w:rPr>
          <w:rStyle w:val="14"/>
          <w:rFonts w:hint="default" w:ascii="Times New Roman" w:hAnsi="Times New Roman" w:cs="Times New Roman"/>
          <w:i w:val="0"/>
          <w:iCs w:val="0"/>
          <w:caps w:val="0"/>
          <w:spacing w:val="0"/>
          <w:sz w:val="32"/>
          <w:szCs w:val="32"/>
          <w:u w:val="none"/>
          <w:bdr w:val="none" w:color="auto" w:sz="0" w:space="0"/>
          <w:shd w:val="clear" w:fill="FFFFFF"/>
        </w:rPr>
        <w:t>support@e-plugger.com</w:t>
      </w:r>
      <w:r>
        <w:rPr>
          <w:rStyle w:val="14"/>
          <w:rFonts w:hint="default" w:ascii="仿宋_GB2312" w:hAnsi="Times New Roman" w:eastAsia="仿宋_GB2312" w:cs="仿宋_GB2312"/>
          <w:i w:val="0"/>
          <w:iCs w:val="0"/>
          <w:caps w:val="0"/>
          <w:spacing w:val="0"/>
          <w:sz w:val="32"/>
          <w:szCs w:val="32"/>
          <w:u w:val="none"/>
          <w:bdr w:val="none" w:color="auto" w:sz="0" w:space="0"/>
          <w:shd w:val="clear" w:fill="FFFFFF"/>
        </w:rPr>
        <w:t>。</w:t>
      </w:r>
      <w:r>
        <w:rPr>
          <w:rFonts w:hint="default" w:ascii="Times New Roman" w:hAnsi="Times New Roman" w:eastAsia="Arial" w:cs="Times New Roman"/>
          <w:i w:val="0"/>
          <w:iCs w:val="0"/>
          <w:caps w:val="0"/>
          <w:snapToGrid w:val="0"/>
          <w:color w:val="000000"/>
          <w:spacing w:val="0"/>
          <w:kern w:val="0"/>
          <w:sz w:val="24"/>
          <w:szCs w:val="24"/>
          <w:u w:val="none"/>
          <w:bdr w:val="none" w:color="auto" w:sz="0" w:space="0"/>
          <w:shd w:val="clear" w:fill="FFFFFF"/>
          <w:lang w:val="en-US" w:eastAsia="zh-CN" w:bidi="ar"/>
        </w:rPr>
        <w:fldChar w:fldCharType="end"/>
      </w:r>
    </w:p>
    <w:p w14:paraId="75653E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 </w:t>
      </w:r>
    </w:p>
    <w:p w14:paraId="2DF227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right"/>
        <w:rPr>
          <w:rFonts w:hint="default" w:ascii="Times New Roman" w:hAnsi="Times New Roman" w:cs="Times New Roman"/>
          <w:i w:val="0"/>
          <w:iCs w:val="0"/>
          <w:caps w:val="0"/>
          <w:color w:val="303133"/>
          <w:spacing w:val="0"/>
          <w:sz w:val="24"/>
          <w:szCs w:val="24"/>
        </w:rPr>
      </w:pP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全国教育科学规划领导小组办公室</w:t>
      </w:r>
    </w:p>
    <w:p w14:paraId="373C2E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5120"/>
        <w:jc w:val="right"/>
        <w:rPr>
          <w:rFonts w:hint="default" w:ascii="Times New Roman" w:hAnsi="Times New Roman" w:cs="Times New Roman"/>
          <w:i w:val="0"/>
          <w:iCs w:val="0"/>
          <w:caps w:val="0"/>
          <w:color w:val="303133"/>
          <w:spacing w:val="0"/>
          <w:sz w:val="24"/>
          <w:szCs w:val="24"/>
        </w:rPr>
      </w:pPr>
      <w:r>
        <w:rPr>
          <w:rFonts w:hint="default" w:ascii="Times New Roman" w:hAnsi="Times New Roman" w:eastAsia="Arial" w:cs="Times New Roman"/>
          <w:i w:val="0"/>
          <w:iCs w:val="0"/>
          <w:caps w:val="0"/>
          <w:snapToGrid w:val="0"/>
          <w:color w:val="000000"/>
          <w:spacing w:val="0"/>
          <w:kern w:val="0"/>
          <w:sz w:val="32"/>
          <w:szCs w:val="32"/>
          <w:bdr w:val="none" w:color="auto" w:sz="0" w:space="0"/>
          <w:shd w:val="clear" w:fill="FFFFFF"/>
          <w:lang w:val="en-US" w:eastAsia="zh-CN" w:bidi="ar"/>
        </w:rPr>
        <w:t>202</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snapToGrid w:val="0"/>
          <w:color w:val="000000"/>
          <w:spacing w:val="0"/>
          <w:kern w:val="0"/>
          <w:sz w:val="32"/>
          <w:szCs w:val="32"/>
          <w:bdr w:val="none" w:color="auto" w:sz="0" w:space="0"/>
          <w:shd w:val="clear" w:fill="FFFFFF"/>
          <w:lang w:val="en-US" w:eastAsia="zh-CN" w:bidi="ar"/>
        </w:rPr>
        <w:t>日</w:t>
      </w:r>
    </w:p>
    <w:p w14:paraId="1C3268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right"/>
        <w:rPr>
          <w:rFonts w:hint="eastAsia" w:ascii="微软雅黑" w:hAnsi="微软雅黑" w:eastAsia="微软雅黑" w:cs="微软雅黑"/>
          <w:i w:val="0"/>
          <w:iCs w:val="0"/>
          <w:caps w:val="0"/>
          <w:color w:val="333333"/>
          <w:spacing w:val="0"/>
          <w:sz w:val="21"/>
          <w:szCs w:val="21"/>
        </w:rPr>
      </w:pPr>
    </w:p>
    <w:p w14:paraId="23891B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Style w:val="11"/>
          <w:rFonts w:hint="default" w:ascii="仿宋_GB2312" w:hAnsi="仿宋_GB2312" w:eastAsia="仿宋_GB2312" w:cs="仿宋_GB2312"/>
          <w:i w:val="0"/>
          <w:iCs w:val="0"/>
          <w:caps w:val="0"/>
          <w:color w:val="333333"/>
          <w:spacing w:val="0"/>
          <w:sz w:val="36"/>
          <w:szCs w:val="36"/>
          <w:shd w:val="clear" w:fill="FFFFFF"/>
        </w:rPr>
      </w:pPr>
      <w:r>
        <w:rPr>
          <w:rStyle w:val="11"/>
          <w:rFonts w:hint="default" w:ascii="仿宋_GB2312" w:hAnsi="仿宋_GB2312" w:eastAsia="仿宋_GB2312" w:cs="仿宋_GB2312"/>
          <w:i w:val="0"/>
          <w:iCs w:val="0"/>
          <w:caps w:val="0"/>
          <w:color w:val="333333"/>
          <w:spacing w:val="0"/>
          <w:sz w:val="36"/>
          <w:szCs w:val="36"/>
          <w:shd w:val="clear" w:fill="FFFFFF"/>
        </w:rPr>
        <w:br w:type="textWrapping"/>
      </w:r>
    </w:p>
    <w:p w14:paraId="11DE4A26">
      <w:pPr>
        <w:rPr>
          <w:rFonts w:ascii="微软雅黑" w:hAnsi="微软雅黑" w:eastAsia="微软雅黑" w:cs="微软雅黑"/>
          <w:b/>
          <w:bCs/>
          <w:i w:val="0"/>
          <w:iCs w:val="0"/>
          <w:caps w:val="0"/>
          <w:color w:val="000000"/>
          <w:spacing w:val="0"/>
          <w:sz w:val="41"/>
          <w:szCs w:val="41"/>
        </w:rPr>
      </w:pPr>
      <w:r>
        <w:rPr>
          <w:rStyle w:val="11"/>
          <w:rFonts w:hint="default" w:ascii="仿宋_GB2312" w:hAnsi="仿宋_GB2312" w:eastAsia="仿宋_GB2312" w:cs="仿宋_GB2312"/>
          <w:i w:val="0"/>
          <w:iCs w:val="0"/>
          <w:caps w:val="0"/>
          <w:color w:val="333333"/>
          <w:spacing w:val="0"/>
          <w:sz w:val="36"/>
          <w:szCs w:val="36"/>
          <w:shd w:val="clear" w:fill="FFFFFF"/>
        </w:rPr>
        <w:br w:type="page"/>
      </w: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5CFCD2-5330-412C-ACED-E03DC52BE569}"/>
  </w:font>
  <w:font w:name="黑体">
    <w:panose1 w:val="02010609060101010101"/>
    <w:charset w:val="86"/>
    <w:family w:val="auto"/>
    <w:pitch w:val="default"/>
    <w:sig w:usb0="800002BF" w:usb1="38CF7CFA" w:usb2="00000016" w:usb3="00000000" w:csb0="00040001" w:csb1="00000000"/>
    <w:embedRegular r:id="rId2" w:fontKey="{7DE9ADD8-A27E-44A6-A3DC-695ACBBC7E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515DC1FF-8586-4A51-9ED0-7CFC16A9354C}"/>
  </w:font>
  <w:font w:name="方正小标宋简体">
    <w:panose1 w:val="02000000000000000000"/>
    <w:charset w:val="86"/>
    <w:family w:val="script"/>
    <w:pitch w:val="default"/>
    <w:sig w:usb0="00000001" w:usb1="080E0000" w:usb2="00000000" w:usb3="00000000" w:csb0="00040000" w:csb1="00000000"/>
    <w:embedRegular r:id="rId4" w:fontKey="{7ADD4E45-0C0E-479D-9946-90EA93E7BB2A}"/>
  </w:font>
  <w:font w:name="仿宋_GB2312">
    <w:altName w:val="仿宋"/>
    <w:panose1 w:val="00000000000000000000"/>
    <w:charset w:val="86"/>
    <w:family w:val="modern"/>
    <w:pitch w:val="default"/>
    <w:sig w:usb0="00000000" w:usb1="00000000" w:usb2="00000010" w:usb3="00000000" w:csb0="00040000" w:csb1="00000000"/>
    <w:embedRegular r:id="rId5" w:fontKey="{14C1EE1D-D0ED-4141-AF83-A3C22C66A1B7}"/>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6" w:fontKey="{7B988CDB-429F-402C-9B19-59951C56E95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DAB2E51"/>
    <w:rsid w:val="0EBF4FB6"/>
    <w:rsid w:val="10C006BD"/>
    <w:rsid w:val="159274DA"/>
    <w:rsid w:val="19D25245"/>
    <w:rsid w:val="1A8A0617"/>
    <w:rsid w:val="1DA62F07"/>
    <w:rsid w:val="1FAB0A8F"/>
    <w:rsid w:val="20675240"/>
    <w:rsid w:val="21BF60EB"/>
    <w:rsid w:val="26926505"/>
    <w:rsid w:val="2A64640A"/>
    <w:rsid w:val="2C8F44CC"/>
    <w:rsid w:val="32A54D0E"/>
    <w:rsid w:val="34982AC3"/>
    <w:rsid w:val="34B90A7B"/>
    <w:rsid w:val="38445F77"/>
    <w:rsid w:val="396C0D34"/>
    <w:rsid w:val="42444F14"/>
    <w:rsid w:val="432D1637"/>
    <w:rsid w:val="46F459F4"/>
    <w:rsid w:val="4AF9092E"/>
    <w:rsid w:val="4CE14901"/>
    <w:rsid w:val="4F6D65FD"/>
    <w:rsid w:val="50274ECE"/>
    <w:rsid w:val="52BA3119"/>
    <w:rsid w:val="55C3057E"/>
    <w:rsid w:val="56CE116D"/>
    <w:rsid w:val="5DB04EE7"/>
    <w:rsid w:val="68981C80"/>
    <w:rsid w:val="6BD961C4"/>
    <w:rsid w:val="6C770D95"/>
    <w:rsid w:val="6FDE6E8F"/>
    <w:rsid w:val="75D62561"/>
    <w:rsid w:val="76B0590A"/>
    <w:rsid w:val="7C68458E"/>
    <w:rsid w:val="7D23241A"/>
    <w:rsid w:val="7DD30AA7"/>
    <w:rsid w:val="7EAC5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3010</Words>
  <Characters>3273</Characters>
  <TotalTime>9</TotalTime>
  <ScaleCrop>false</ScaleCrop>
  <LinksUpToDate>false</LinksUpToDate>
  <CharactersWithSpaces>3318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2026-06-03T06:59:10Z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2052-12.1.0.26375</vt:lpwstr>
  </property>
  <property fmtid="{D5CDD505-2E9C-101B-9397-08002B2CF9AE}" pid="5" name="ICV">
    <vt:lpwstr>37244D89461C46D6AF0B1051D3FE0C64_13</vt:lpwstr>
  </property>
  <property fmtid="{D5CDD505-2E9C-101B-9397-08002B2CF9AE}" pid="6" name="KSOTemplateDocerSaveRecord">
    <vt:lpwstr>eyJoZGlkIjoiZTljNDdiYmE1NzYzMmI3YmVmMTdjZWNlNDcyZmMyYTYiLCJ1c2VySWQiOiI0MzQyMzM0ODcifQ==</vt:lpwstr>
  </property>
</Properties>
</file>