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ascii="宋体" w:hAnsi="宋体" w:eastAsia="宋体" w:cs="宋体"/>
          <w:b/>
          <w:bCs/>
          <w:kern w:val="0"/>
          <w:sz w:val="44"/>
          <w:szCs w:val="44"/>
          <w:lang w:val="en-US" w:eastAsia="zh-CN" w:bidi="ar-SA"/>
        </w:rPr>
        <w:t>四川休闲体育产业发展研究中心项目</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w:t>
      </w:r>
      <w:bookmarkStart w:id="2" w:name="_GoBack"/>
      <w:bookmarkEnd w:id="2"/>
      <w:r>
        <w:rPr>
          <w:rFonts w:hint="eastAsia" w:ascii="仿宋_GB2312" w:hAnsi="宋体" w:eastAsia="仿宋_GB2312" w:cs="宋体"/>
          <w:b w:val="0"/>
          <w:bCs w:val="0"/>
          <w:kern w:val="0"/>
          <w:sz w:val="32"/>
          <w:szCs w:val="32"/>
          <w:lang w:val="en-US" w:eastAsia="zh-CN" w:bidi="ar-SA"/>
        </w:rPr>
        <w:t>四川休闲体育产业发展研究中心项目申报已经开始，请根据申报通知积极申报。要求如下：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在科研大数据平台进行申报。（申报书与活页为两个独立文件（均须命名），命名方式：申请项目性质+学校名称+负责人姓名+课题名称）</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29</w:t>
      </w:r>
      <w:r>
        <w:rPr>
          <w:rFonts w:hint="eastAsia" w:ascii="仿宋_GB2312" w:hAnsi="宋体" w:eastAsia="仿宋_GB2312" w:cs="宋体"/>
          <w:kern w:val="0"/>
          <w:sz w:val="32"/>
          <w:szCs w:val="32"/>
          <w:lang w:val="zh-CN" w:eastAsia="zh-CN" w:bidi="zh-CN"/>
        </w:rPr>
        <w:t>日。</w:t>
      </w:r>
    </w:p>
    <w:p w14:paraId="0144A820">
      <w:pPr>
        <w:widowControl/>
        <w:autoSpaceDE w:val="0"/>
        <w:autoSpaceDN w:val="0"/>
        <w:spacing w:before="75" w:after="75" w:line="360" w:lineRule="auto"/>
        <w:ind w:left="0" w:right="0" w:firstLine="645"/>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课题打印申报书1份，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r>
        <w:rPr>
          <w:rFonts w:hint="eastAsia" w:ascii="仿宋_GB2312" w:eastAsia="仿宋_GB2312"/>
          <w:sz w:val="32"/>
          <w:szCs w:val="32"/>
          <w:lang w:val="en-US" w:eastAsia="zh-CN"/>
        </w:rPr>
        <w:t>上午</w:t>
      </w:r>
      <w:r>
        <w:rPr>
          <w:rFonts w:hint="eastAsia" w:ascii="仿宋_GB2312" w:eastAsia="仿宋_GB2312"/>
          <w:sz w:val="32"/>
          <w:szCs w:val="32"/>
        </w:rPr>
        <w:t>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2026年4月9日</w:t>
      </w:r>
    </w:p>
    <w:p w14:paraId="7182648B">
      <w:pPr>
        <w:rPr>
          <w:rFonts w:ascii="Arial"/>
          <w:sz w:val="21"/>
        </w:rPr>
      </w:pPr>
      <w:r>
        <w:rPr>
          <w:rFonts w:ascii="Arial"/>
          <w:sz w:val="21"/>
        </w:rPr>
        <w:br w:type="page"/>
      </w:r>
    </w:p>
    <w:p w14:paraId="53E5B2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90" w:beforeAutospacing="0" w:after="0" w:afterAutospacing="0" w:line="420" w:lineRule="atLeast"/>
        <w:ind w:left="0" w:right="0" w:firstLine="0"/>
        <w:jc w:val="center"/>
        <w:rPr>
          <w:rFonts w:ascii="微软雅黑" w:hAnsi="微软雅黑" w:eastAsia="微软雅黑" w:cs="微软雅黑"/>
          <w:b w:val="0"/>
          <w:bCs w:val="0"/>
          <w:i w:val="0"/>
          <w:iCs w:val="0"/>
          <w:caps w:val="0"/>
          <w:color w:val="000000"/>
          <w:spacing w:val="0"/>
          <w:sz w:val="36"/>
          <w:szCs w:val="36"/>
        </w:rPr>
      </w:pPr>
      <w:r>
        <w:rPr>
          <w:rFonts w:hint="eastAsia" w:ascii="微软雅黑" w:hAnsi="微软雅黑" w:eastAsia="微软雅黑" w:cs="微软雅黑"/>
          <w:b w:val="0"/>
          <w:bCs w:val="0"/>
          <w:i w:val="0"/>
          <w:iCs w:val="0"/>
          <w:caps w:val="0"/>
          <w:color w:val="000000"/>
          <w:spacing w:val="0"/>
          <w:sz w:val="36"/>
          <w:szCs w:val="36"/>
          <w:bdr w:val="none" w:color="auto" w:sz="0" w:space="0"/>
          <w:shd w:val="clear" w:fill="FFFFFF"/>
        </w:rPr>
        <w:t>四川休闲体育产业发展研究中心2026年度项目申报公告</w:t>
      </w:r>
    </w:p>
    <w:p w14:paraId="5AE5350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var(--docx-minorHAnsi-font)" w:hAnsi="var(--docx-minorHAnsi-font)" w:eastAsia="var(--docx-minorHAnsi-font)" w:cs="var(--docx-minorHAnsi-font)"/>
          <w:sz w:val="21"/>
          <w:szCs w:val="21"/>
        </w:rPr>
      </w:pPr>
    </w:p>
    <w:p w14:paraId="03397F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p>
    <w:p w14:paraId="4DA028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0" w:afterAutospacing="0" w:line="540" w:lineRule="atLeast"/>
        <w:ind w:left="0" w:right="0" w:firstLine="480"/>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为深入贯彻落实党的二十大及二十届历次全会精神，坚持正确的政治方向、价值取向和学术导向，聚焦“十五五”时期四川休闲体育产业高质量发展的重大理论与现实需求，根据《四川省教育厅高校人文社会科学重点研究基地管理办法》有关规定，四川休闲体育产业发展研究中心（以下简称“中心”）现发布2026年度项目申报公告，并就申报工作有关事项公告如下：</w:t>
      </w:r>
    </w:p>
    <w:p w14:paraId="7F2438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一、研究领域和项目类别</w:t>
      </w:r>
    </w:p>
    <w:p w14:paraId="729832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中心2026年度项目不作研究指南拟定。申报者可紧密围绕新时代体育强国建设战略部署，立足成渝地区双城经济圈建设大局，聚焦四川休闲体育产业高质量发展的理论与实践，构建协同创新体系，重点突破产业融合发展机制、区域特色资源开发、智慧体育服务体系等关键领域，着力推进基础理论研究与应用对策研究深度融合。申报者应以前沿理论和现实问题为主攻方向，坚持有组织科研和自主探索相结合，鼓励开展跨学科综合研究。研究者可根据自己的研究专长及研究基础自行设计具体题目。研究成果应彰显学术前瞻性、实践指导性和决策参考价值，为服务健康中国战略、助推体育强省建设提供智力支撑。</w:t>
      </w:r>
    </w:p>
    <w:p w14:paraId="61C842F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本年度课题设重点项目、一般项目和自筹项目。</w:t>
      </w:r>
    </w:p>
    <w:p w14:paraId="3A74C0D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三、申报要求</w:t>
      </w:r>
    </w:p>
    <w:p w14:paraId="606DFC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1.课题负责人与课题组成员应具备实施课题研究的能力和时间保证，所依托单位应具备基本的研究条件；</w:t>
      </w:r>
    </w:p>
    <w:p w14:paraId="7A083D6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2.申报重点项目的负责人须具有高级职称或博士学位，并主持完成过厅级及以上研究项目。申报一般项目的负责人须具有中级以上（含中级）职称或具有硕士学位。民族地区高校申报者如有特色的研究可适当放宽职称或学历要求。</w:t>
      </w:r>
    </w:p>
    <w:p w14:paraId="1B9BD5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3.目前主持本研究基地项目尚未结题者不能作为负责人申报2026年项目；项目申报人所在单位科研管理部门须依据《四川省教育厅高校人文社会科学项目管理办法》对申请人进行资格审查，严格把关。</w:t>
      </w:r>
    </w:p>
    <w:p w14:paraId="1B2973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四、研究时间和结题要求</w:t>
      </w:r>
    </w:p>
    <w:p w14:paraId="62FA67B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1.项目研究时间为1—2年，特殊情况可申请延期1年，逾期不能完成的项目将进行项目终止处理。</w:t>
      </w:r>
    </w:p>
    <w:p w14:paraId="2D0F46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2.各类项目具体结题要求参见中心《基地课题结题要求》。</w:t>
      </w:r>
    </w:p>
    <w:p w14:paraId="50DC7A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五、其他注意事项</w:t>
      </w:r>
    </w:p>
    <w:p w14:paraId="3D8FFE7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本年度受理申报时间从即日起至2026年5月6日。本次申报只提交电子版申报材料。</w:t>
      </w:r>
    </w:p>
    <w:p w14:paraId="27BD47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要求如下：</w:t>
      </w:r>
    </w:p>
    <w:p w14:paraId="02740CD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1.申报书与活页为两个独立文件（均须命名），命名方式：申请项目性质+学校名称+负责人姓名+课题名称。其中，申报书中签名盖章处为学校社科处盖章（可附电子签章或者签名盖章页以图片形式替换）；</w:t>
      </w:r>
    </w:p>
    <w:p w14:paraId="37EA977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2.成都大学校内申报项目，请附意识形态承诺书。</w:t>
      </w:r>
    </w:p>
    <w:p w14:paraId="63EBBC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3.单位集中发送申报材料包时，须以单位名称命名。</w:t>
      </w:r>
    </w:p>
    <w:p w14:paraId="36BEA6C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4.申报单位须于截止日期前将审查合格的电子版申报材料文档发送至中心邮箱：</w:t>
      </w:r>
      <w:r>
        <w:rPr>
          <w:rFonts w:hint="eastAsia" w:ascii="微软雅黑" w:hAnsi="微软雅黑" w:eastAsia="微软雅黑" w:cs="微软雅黑"/>
          <w:i w:val="0"/>
          <w:iCs w:val="0"/>
          <w:caps w:val="0"/>
          <w:color w:val="666666"/>
          <w:spacing w:val="0"/>
          <w:sz w:val="24"/>
          <w:szCs w:val="24"/>
          <w:u w:val="none"/>
          <w:bdr w:val="none" w:color="auto" w:sz="0" w:space="0"/>
          <w:shd w:val="clear" w:fill="FFFFFF"/>
        </w:rPr>
        <w:t>xxtycyjd@163.com</w:t>
      </w:r>
      <w:r>
        <w:rPr>
          <w:rFonts w:hint="eastAsia" w:ascii="微软雅黑" w:hAnsi="微软雅黑" w:eastAsia="微软雅黑" w:cs="微软雅黑"/>
          <w:i w:val="0"/>
          <w:iCs w:val="0"/>
          <w:caps w:val="0"/>
          <w:color w:val="666666"/>
          <w:spacing w:val="0"/>
          <w:sz w:val="24"/>
          <w:szCs w:val="24"/>
          <w:bdr w:val="none" w:color="auto" w:sz="0" w:space="0"/>
          <w:shd w:val="clear" w:fill="FFFFFF"/>
        </w:rPr>
        <w:t>，逾期不再受理。</w:t>
      </w:r>
    </w:p>
    <w:p w14:paraId="159E4D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5.项目申报需要的各种材料（包括课题指南、申报书、活页）从我中心网站下载（网址：</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"https://xxty.cdu.edu.cn/"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666666"/>
          <w:spacing w:val="0"/>
          <w:sz w:val="24"/>
          <w:szCs w:val="24"/>
          <w:u w:val="none"/>
          <w:bdr w:val="none" w:color="auto" w:sz="0" w:space="0"/>
          <w:shd w:val="clear" w:fill="FFFFFF"/>
        </w:rPr>
        <w:t>https://xxty.cdu.edu.cn/</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666666"/>
          <w:spacing w:val="0"/>
          <w:sz w:val="24"/>
          <w:szCs w:val="24"/>
          <w:bdr w:val="none" w:color="auto" w:sz="0" w:space="0"/>
          <w:shd w:val="clear" w:fill="FFFFFF"/>
        </w:rPr>
        <w:t>）。</w:t>
      </w:r>
    </w:p>
    <w:p w14:paraId="3A01A81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8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 六、中心相关信息</w:t>
      </w:r>
      <w:r>
        <w:rPr>
          <w:rFonts w:hint="eastAsia" w:ascii="微软雅黑" w:hAnsi="微软雅黑" w:eastAsia="微软雅黑" w:cs="微软雅黑"/>
          <w:i w:val="0"/>
          <w:iCs w:val="0"/>
          <w:caps w:val="0"/>
          <w:color w:val="666666"/>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666666"/>
          <w:spacing w:val="0"/>
          <w:sz w:val="24"/>
          <w:szCs w:val="24"/>
          <w:bdr w:val="none" w:color="auto" w:sz="0" w:space="0"/>
          <w:shd w:val="clear" w:fill="FFFFFF"/>
        </w:rPr>
        <w:t>        地址：成都市外东十陵镇成都学院（成都大学）四川休闲体育产业发展研究中心</w:t>
      </w:r>
      <w:r>
        <w:rPr>
          <w:rFonts w:hint="eastAsia" w:ascii="微软雅黑" w:hAnsi="微软雅黑" w:eastAsia="微软雅黑" w:cs="微软雅黑"/>
          <w:i w:val="0"/>
          <w:iCs w:val="0"/>
          <w:caps w:val="0"/>
          <w:color w:val="666666"/>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666666"/>
          <w:spacing w:val="0"/>
          <w:sz w:val="24"/>
          <w:szCs w:val="24"/>
          <w:bdr w:val="none" w:color="auto" w:sz="0" w:space="0"/>
          <w:shd w:val="clear" w:fill="FFFFFF"/>
        </w:rPr>
        <w:t>           邮编：610106</w:t>
      </w:r>
      <w:r>
        <w:rPr>
          <w:rFonts w:hint="eastAsia" w:ascii="微软雅黑" w:hAnsi="微软雅黑" w:eastAsia="微软雅黑" w:cs="微软雅黑"/>
          <w:i w:val="0"/>
          <w:iCs w:val="0"/>
          <w:caps w:val="0"/>
          <w:color w:val="666666"/>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666666"/>
          <w:spacing w:val="0"/>
          <w:sz w:val="24"/>
          <w:szCs w:val="24"/>
          <w:bdr w:val="none" w:color="auto" w:sz="0" w:space="0"/>
          <w:shd w:val="clear" w:fill="FFFFFF"/>
        </w:rPr>
        <w:t>            电话：15208205941、028-84616021</w:t>
      </w:r>
      <w:r>
        <w:rPr>
          <w:rFonts w:hint="eastAsia" w:ascii="微软雅黑" w:hAnsi="微软雅黑" w:eastAsia="微软雅黑" w:cs="微软雅黑"/>
          <w:i w:val="0"/>
          <w:iCs w:val="0"/>
          <w:caps w:val="0"/>
          <w:color w:val="666666"/>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666666"/>
          <w:spacing w:val="0"/>
          <w:sz w:val="24"/>
          <w:szCs w:val="24"/>
          <w:bdr w:val="none" w:color="auto" w:sz="0" w:space="0"/>
          <w:shd w:val="clear" w:fill="FFFFFF"/>
        </w:rPr>
        <w:t>           联系人：  李鲁云</w:t>
      </w:r>
    </w:p>
    <w:p w14:paraId="78F41D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       附件1：</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"https://xxty.cdu.edu.cn/shenbaoshu.doc" \t "https://xxty.cdu.edu.cn/info/1045/_self"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333333"/>
          <w:spacing w:val="0"/>
          <w:sz w:val="24"/>
          <w:szCs w:val="24"/>
          <w:u w:val="none"/>
          <w:bdr w:val="none" w:color="auto" w:sz="0" w:space="0"/>
          <w:shd w:val="clear" w:fill="FFFFFF"/>
        </w:rPr>
        <w:t>/申报书.doc</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303705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       附件2：</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"https://xxty.cdu.edu.cn/huoye.doc" \t "https://xxty.cdu.edu.cn/info/1045/_self"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333333"/>
          <w:spacing w:val="0"/>
          <w:sz w:val="24"/>
          <w:szCs w:val="24"/>
          <w:u w:val="none"/>
          <w:bdr w:val="none" w:color="auto" w:sz="0" w:space="0"/>
          <w:shd w:val="clear" w:fill="FFFFFF"/>
        </w:rPr>
        <w:t>/活页.doc</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186DDB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       附件3：</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"https://xxty.cdu.edu.cn/shenbaotongjibiao.xls" \t "https://xxty.cdu.edu.cn/info/1045/_self"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14"/>
          <w:rFonts w:hint="eastAsia" w:ascii="微软雅黑" w:hAnsi="微软雅黑" w:eastAsia="微软雅黑" w:cs="微软雅黑"/>
          <w:i w:val="0"/>
          <w:iCs w:val="0"/>
          <w:caps w:val="0"/>
          <w:color w:val="333333"/>
          <w:spacing w:val="0"/>
          <w:sz w:val="24"/>
          <w:szCs w:val="24"/>
          <w:u w:val="none"/>
          <w:bdr w:val="none" w:color="auto" w:sz="0" w:space="0"/>
          <w:shd w:val="clear" w:fill="FFFFFF"/>
        </w:rPr>
        <w:t>/申报统计表.xls</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47C98E42">
      <w:pPr>
        <w:rPr>
          <w:rFonts w:hint="default" w:ascii="仿宋_GB2312" w:hAnsi="仿宋_GB2312" w:eastAsia="仿宋_GB2312" w:cs="仿宋_GB2312"/>
          <w:color w:val="000000"/>
          <w:sz w:val="31"/>
          <w:szCs w:val="31"/>
        </w:rPr>
      </w:pPr>
      <w:r>
        <w:rPr>
          <w:rFonts w:hint="default" w:ascii="仿宋_GB2312" w:hAnsi="仿宋_GB2312" w:eastAsia="仿宋_GB2312" w:cs="仿宋_GB2312"/>
          <w:color w:val="000000"/>
          <w:sz w:val="31"/>
          <w:szCs w:val="31"/>
        </w:rPr>
        <w:br w:type="page"/>
      </w:r>
    </w:p>
    <w:p w14:paraId="691BBDF8">
      <w:pPr>
        <w:rPr>
          <w:rFonts w:hint="default" w:ascii="仿宋_GB2312" w:hAnsi="仿宋_GB2312" w:eastAsia="仿宋_GB2312" w:cs="仿宋_GB2312"/>
          <w:color w:val="000000"/>
          <w:sz w:val="31"/>
          <w:szCs w:val="31"/>
        </w:rPr>
      </w:pPr>
      <w:r>
        <w:rPr>
          <w:rFonts w:hint="default" w:ascii="仿宋_GB2312" w:hAnsi="仿宋_GB2312" w:eastAsia="仿宋_GB2312" w:cs="仿宋_GB2312"/>
          <w:color w:val="000000"/>
          <w:sz w:val="31"/>
          <w:szCs w:val="31"/>
        </w:rPr>
        <w:br w:type="page"/>
      </w:r>
      <w:r>
        <w:rPr>
          <w:rFonts w:hint="default" w:ascii="仿宋_GB2312" w:hAnsi="仿宋_GB2312" w:eastAsia="仿宋_GB2312" w:cs="仿宋_GB2312"/>
          <w:color w:val="000000"/>
          <w:sz w:val="31"/>
          <w:szCs w:val="31"/>
        </w:rPr>
        <w:br w:type="page"/>
      </w:r>
    </w:p>
    <w:p w14:paraId="6C5DD6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569" w:lineRule="atLeast"/>
        <w:ind w:left="0" w:right="0" w:firstLine="0"/>
        <w:jc w:val="center"/>
        <w:rPr>
          <w:rFonts w:ascii="微软雅黑" w:hAnsi="微软雅黑" w:eastAsia="微软雅黑" w:cs="微软雅黑"/>
          <w:i w:val="0"/>
          <w:iCs w:val="0"/>
          <w:caps w:val="0"/>
          <w:color w:val="000000"/>
          <w:spacing w:val="0"/>
          <w:sz w:val="21"/>
          <w:szCs w:val="21"/>
        </w:rPr>
      </w:pPr>
      <w:r>
        <w:rPr>
          <w:rFonts w:ascii="方正黑体简体" w:hAnsi="方正黑体简体" w:eastAsia="方正黑体简体" w:cs="方正黑体简体"/>
          <w:b/>
          <w:bCs/>
          <w:i w:val="0"/>
          <w:iCs w:val="0"/>
          <w:caps w:val="0"/>
          <w:color w:val="000000"/>
          <w:spacing w:val="0"/>
          <w:sz w:val="40"/>
          <w:szCs w:val="40"/>
          <w:shd w:val="clear" w:fill="FFFFFF"/>
        </w:rPr>
        <w:t>课题指南</w:t>
      </w:r>
    </w:p>
    <w:p w14:paraId="7A7C50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rPr>
      </w:pPr>
      <w:r>
        <w:rPr>
          <w:rFonts w:ascii="楷体_GB2312" w:hAnsi="微软雅黑" w:eastAsia="楷体_GB2312" w:cs="楷体_GB2312"/>
          <w:b/>
          <w:bCs/>
          <w:i w:val="0"/>
          <w:iCs w:val="0"/>
          <w:caps w:val="0"/>
          <w:color w:val="000000"/>
          <w:spacing w:val="0"/>
          <w:sz w:val="28"/>
          <w:szCs w:val="28"/>
          <w:shd w:val="clear" w:fill="FFFFFF"/>
        </w:rPr>
        <w:t>一、面上项目指南</w:t>
      </w:r>
    </w:p>
    <w:p w14:paraId="647754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ascii="仿宋" w:hAnsi="仿宋" w:eastAsia="仿宋" w:cs="仿宋"/>
          <w:i w:val="0"/>
          <w:iCs w:val="0"/>
          <w:caps w:val="0"/>
          <w:color w:val="000000"/>
          <w:spacing w:val="0"/>
          <w:sz w:val="28"/>
          <w:szCs w:val="28"/>
          <w:shd w:val="clear" w:fill="FFFFFF"/>
        </w:rPr>
        <w:t>1</w:t>
      </w:r>
      <w:r>
        <w:rPr>
          <w:rFonts w:hint="eastAsia" w:ascii="仿宋" w:hAnsi="仿宋" w:eastAsia="仿宋" w:cs="仿宋"/>
          <w:i w:val="0"/>
          <w:iCs w:val="0"/>
          <w:caps w:val="0"/>
          <w:color w:val="000000"/>
          <w:spacing w:val="0"/>
          <w:sz w:val="28"/>
          <w:szCs w:val="28"/>
          <w:shd w:val="clear" w:fill="FFFFFF"/>
        </w:rPr>
        <w:t>.世界遗产地文旅体融合与高质量消费场景创造</w:t>
      </w:r>
    </w:p>
    <w:p w14:paraId="337E5D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2.产业融合中的多主体价值创造与文旅消费潜力推进</w:t>
      </w:r>
    </w:p>
    <w:p w14:paraId="6015173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3.山地旅游高质量发展的机制、体制及安全保障体系</w:t>
      </w:r>
    </w:p>
    <w:p w14:paraId="4F9E59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4.川藏旅游廊道建设与318公路生态修复</w:t>
      </w:r>
    </w:p>
    <w:p w14:paraId="069A8F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5.民族地区交通建设与地区社会福祉提升</w:t>
      </w:r>
    </w:p>
    <w:p w14:paraId="739829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6.四川“低空经济+文旅”融合发展研究</w:t>
      </w:r>
    </w:p>
    <w:p w14:paraId="603DF9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7.高原旅游发展与环喜马拉雅旅游廊道建设</w:t>
      </w:r>
    </w:p>
    <w:p w14:paraId="3761D8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8.人工智能赋能四川文旅行业数智化转型与创新应用</w:t>
      </w:r>
    </w:p>
    <w:p w14:paraId="7B9114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9.多源数据融合与智能决策系统在文旅营销中的应用</w:t>
      </w:r>
    </w:p>
    <w:p w14:paraId="3137711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10.“文旅+百业”融合发展动力机制与产业生态构建</w:t>
      </w:r>
    </w:p>
    <w:p w14:paraId="77A245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11.文化与旅游深度融合发展的机制创新与效能评价</w:t>
      </w:r>
    </w:p>
    <w:p w14:paraId="7F8411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12.四川世界文化遗产保护与区域协同发展</w:t>
      </w:r>
    </w:p>
    <w:p w14:paraId="0022D2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13.四川“演艺+赛事+展会+旅游”联动发展模式</w:t>
      </w:r>
    </w:p>
    <w:p w14:paraId="16F353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14.低空经济与体育旅游赋能四川山地旅游创新发展</w:t>
      </w:r>
    </w:p>
    <w:p w14:paraId="50D1497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15.生态+文旅+康养融合发展的创新模式</w:t>
      </w:r>
    </w:p>
    <w:p w14:paraId="2A4E2A9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16.音舞艺术赋能民族地区文旅融合路径</w:t>
      </w:r>
    </w:p>
    <w:p w14:paraId="60316D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17.文旅消费新场景的生成逻辑与价值评估</w:t>
      </w:r>
    </w:p>
    <w:p w14:paraId="7B115DA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18.沉浸式文旅产品开发与运营模式创新</w:t>
      </w:r>
    </w:p>
    <w:p w14:paraId="500B1A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19.数字藏品与文旅IP价值共创</w:t>
      </w:r>
    </w:p>
    <w:p w14:paraId="6AA2C2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20.乡村文旅新场景培育与联农带农机制构建</w:t>
      </w:r>
    </w:p>
    <w:p w14:paraId="4BEB2E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21.非遗生产性保护与非遗工坊带动就业增收</w:t>
      </w:r>
    </w:p>
    <w:p w14:paraId="513B2A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22.农业全产业链升级与乡村旅游融合发展</w:t>
      </w:r>
    </w:p>
    <w:p w14:paraId="5F8E241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23.四川乡村文旅人才支撑体系与“产学研用”协同机制</w:t>
      </w:r>
    </w:p>
    <w:p w14:paraId="658E96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24.四川入境旅游促进政策创新与国际游客体验优化</w:t>
      </w:r>
    </w:p>
    <w:p w14:paraId="11F40A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25.文旅产业边界与统计创新</w:t>
      </w:r>
    </w:p>
    <w:p w14:paraId="3AA117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26.红色旅游的思想政治教育功能及其效果评估</w:t>
      </w:r>
      <w:r>
        <w:rPr>
          <w:rFonts w:hint="eastAsia" w:ascii="仿宋" w:hAnsi="仿宋" w:eastAsia="仿宋" w:cs="仿宋"/>
          <w:i w:val="0"/>
          <w:iCs w:val="0"/>
          <w:caps w:val="0"/>
          <w:color w:val="000000"/>
          <w:spacing w:val="0"/>
          <w:sz w:val="28"/>
          <w:szCs w:val="28"/>
          <w:shd w:val="clear" w:fill="FFFFFF"/>
          <w:lang w:val="en-US"/>
        </w:rPr>
        <w:t>研</w:t>
      </w:r>
      <w:r>
        <w:rPr>
          <w:rFonts w:hint="eastAsia" w:ascii="仿宋" w:hAnsi="仿宋" w:eastAsia="仿宋" w:cs="仿宋"/>
          <w:i w:val="0"/>
          <w:iCs w:val="0"/>
          <w:caps w:val="0"/>
          <w:color w:val="000000"/>
          <w:spacing w:val="0"/>
          <w:sz w:val="28"/>
          <w:szCs w:val="28"/>
          <w:shd w:val="clear" w:fill="FFFFFF"/>
        </w:rPr>
        <w:t>究</w:t>
      </w:r>
    </w:p>
    <w:p w14:paraId="57EDBE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27.运用新兴科技引领智慧文旅高质量发展</w:t>
      </w:r>
    </w:p>
    <w:p w14:paraId="1787CB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28.人工智能助力世界遗产保护</w:t>
      </w:r>
    </w:p>
    <w:p w14:paraId="031557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rPr>
      </w:pPr>
      <w:r>
        <w:rPr>
          <w:rFonts w:hint="default" w:ascii="楷体_GB2312" w:hAnsi="微软雅黑" w:eastAsia="楷体_GB2312" w:cs="楷体_GB2312"/>
          <w:b/>
          <w:bCs/>
          <w:i w:val="0"/>
          <w:iCs w:val="0"/>
          <w:caps w:val="0"/>
          <w:color w:val="000000"/>
          <w:spacing w:val="0"/>
          <w:sz w:val="28"/>
          <w:szCs w:val="28"/>
          <w:shd w:val="clear" w:fill="FFFFFF"/>
        </w:rPr>
        <w:t>二. 乐山专项指南</w:t>
      </w:r>
    </w:p>
    <w:p w14:paraId="5EB225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1.乐山茶产业高质量发展路径研究</w:t>
      </w:r>
    </w:p>
    <w:p w14:paraId="3033F43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2.加快高质量建设世界重要旅游目的地路径研究（以峨眉山为例）</w:t>
      </w:r>
    </w:p>
    <w:p w14:paraId="4C57BC0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3.岷江世界文化遗产旅游廊道空间构建与跨区域协同机制研究</w:t>
      </w:r>
    </w:p>
    <w:p w14:paraId="17240D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4.AI大模型与数字技术赋能乐山世界遗产地智慧旅游</w:t>
      </w:r>
    </w:p>
    <w:p w14:paraId="6416CEC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5.“景城一体”与乐山世界级旅游目的地核心区能级提升</w:t>
      </w:r>
    </w:p>
    <w:p w14:paraId="32FBC38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6.乐山建设享誉全球的世界重要旅游目的地的战略路径与国际竞争力提升</w:t>
      </w:r>
    </w:p>
    <w:p w14:paraId="04C2E0E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7.世界遗产保护与城市更新协同发展研究</w:t>
      </w:r>
    </w:p>
    <w:p w14:paraId="4DD222F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8.乐山新兴业态培育研究（低空经济+工业旅游）</w:t>
      </w:r>
    </w:p>
    <w:p w14:paraId="2EA21F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9.乐山入境旅游市场振兴与国际营销体系构建研究</w:t>
      </w:r>
    </w:p>
    <w:p w14:paraId="7548364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10.乐山机场通航背景下的航空旅游客源市场激活与产品体系构建研究</w:t>
      </w:r>
    </w:p>
    <w:p w14:paraId="7578C59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11.“乐山味道”世界美食之都创建路径与全产业链开发研究</w:t>
      </w:r>
    </w:p>
    <w:p w14:paraId="43DA0D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12.乐山文化创意产业高质量发展与“乐山礼物”品牌矩阵构建研究</w:t>
      </w:r>
    </w:p>
    <w:p w14:paraId="6AEFF7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13.乐山“赛演娱乐”产业生态培育与消费市场激活研究</w:t>
      </w:r>
    </w:p>
    <w:p w14:paraId="00C59F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14.乐山康养旅居产业高质量发展与生态价值转化研究</w:t>
      </w:r>
    </w:p>
    <w:p w14:paraId="6B827C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15.乐山“文旅+百业”融合发展的产业生态构建与政策协同研究</w:t>
      </w:r>
    </w:p>
    <w:p w14:paraId="37967C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16.乐山文旅消费新场景的生成逻辑与价值评估研究</w:t>
      </w:r>
    </w:p>
    <w:p w14:paraId="3EDF65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17.人工智能赋能乐山文旅数智化转型与应用场景示范</w:t>
      </w:r>
    </w:p>
    <w:p w14:paraId="7B17F3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18.乐山“农文旅融合”产业共同体构建与农民增收长效机制</w:t>
      </w:r>
    </w:p>
    <w:p w14:paraId="5E05E5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19.乐山县域乡村民宿集聚区高质量发展与社区参与机制</w:t>
      </w:r>
    </w:p>
    <w:p w14:paraId="14DE50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20.非物质文化遗产生产性保护与非遗工坊带动县域就业增收</w:t>
      </w:r>
    </w:p>
    <w:p w14:paraId="199AFF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21.乐山文化遗产数字化保护与活化利用</w:t>
      </w:r>
    </w:p>
    <w:p w14:paraId="17FB406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22.乐山“文旅+百业”的慢旅游场景构造与实现路径</w:t>
      </w:r>
    </w:p>
    <w:p w14:paraId="2A44EF0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23.“微改造、精提升”理念下乐山历史文化街区的消费场景活化研究</w:t>
      </w:r>
    </w:p>
    <w:p w14:paraId="34C9C78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24.凌云山灵宝塔历史沿革与建筑价值及保护利用研究</w:t>
      </w:r>
    </w:p>
    <w:p w14:paraId="46D772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25.客流红利视角下乐山大佛景区文旅体验重塑与消费升级路径研究</w:t>
      </w:r>
    </w:p>
    <w:p w14:paraId="3F4F69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26.乐山大佛世界遗产地文旅深度融合发展路径</w:t>
      </w:r>
    </w:p>
    <w:p w14:paraId="0E90081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27.文旅融合视域下彝族漆器文创产品设计</w:t>
      </w:r>
    </w:p>
    <w:p w14:paraId="5BA169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28.彝族漆器产业化发展现状、问题与对策研究</w:t>
      </w:r>
    </w:p>
    <w:p w14:paraId="1DB8BC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shd w:val="clear" w:fill="FFFFFF"/>
        </w:rPr>
        <w:t>29.彝族漆器制作技艺传统村落保护研究</w:t>
      </w:r>
    </w:p>
    <w:p w14:paraId="11DE4A26">
      <w:pPr>
        <w:rPr>
          <w:rFonts w:ascii="微软雅黑" w:hAnsi="微软雅黑" w:eastAsia="微软雅黑" w:cs="微软雅黑"/>
          <w:b/>
          <w:bCs/>
          <w:i w:val="0"/>
          <w:iCs w:val="0"/>
          <w:caps w:val="0"/>
          <w:color w:val="000000"/>
          <w:spacing w:val="0"/>
          <w:sz w:val="41"/>
          <w:szCs w:val="41"/>
        </w:rPr>
      </w:pPr>
      <w:r>
        <w:rPr>
          <w:rFonts w:hint="default" w:ascii="仿宋_GB2312" w:hAnsi="仿宋_GB2312" w:eastAsia="仿宋_GB2312" w:cs="仿宋_GB2312"/>
          <w:color w:val="000000"/>
          <w:sz w:val="31"/>
          <w:szCs w:val="31"/>
        </w:rPr>
        <w:br w:type="page"/>
      </w: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E6BAB7-3007-4F19-A23B-40866567D39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C8AC990-1397-4504-84F7-3FB3A931F8E5}"/>
  </w:font>
  <w:font w:name="微软雅黑">
    <w:panose1 w:val="020B0503020204020204"/>
    <w:charset w:val="86"/>
    <w:family w:val="swiss"/>
    <w:pitch w:val="default"/>
    <w:sig w:usb0="80000287" w:usb1="2ACF3C50" w:usb2="00000016" w:usb3="00000000" w:csb0="0004001F" w:csb1="00000000"/>
    <w:embedRegular r:id="rId3" w:fontKey="{68C13451-1575-4E8E-B353-FF32A77A9FF7}"/>
  </w:font>
  <w:font w:name="方正小标宋简体">
    <w:panose1 w:val="02000000000000000000"/>
    <w:charset w:val="86"/>
    <w:family w:val="script"/>
    <w:pitch w:val="default"/>
    <w:sig w:usb0="00000001" w:usb1="080E0000" w:usb2="00000000" w:usb3="00000000" w:csb0="00040000" w:csb1="00000000"/>
    <w:embedRegular r:id="rId4" w:fontKey="{58558294-A06D-498E-AC25-C05AB2159786}"/>
  </w:font>
  <w:font w:name="仿宋_GB2312">
    <w:altName w:val="仿宋"/>
    <w:panose1 w:val="00000000000000000000"/>
    <w:charset w:val="86"/>
    <w:family w:val="modern"/>
    <w:pitch w:val="default"/>
    <w:sig w:usb0="00000000" w:usb1="00000000" w:usb2="00000010" w:usb3="00000000" w:csb0="00040000" w:csb1="00000000"/>
    <w:embedRegular r:id="rId5" w:fontKey="{F6DE5E56-7DE8-4958-9F5C-CA405CADC0E6}"/>
  </w:font>
  <w:font w:name="var(--docx-minorHAnsi-font)">
    <w:altName w:val="Segoe Print"/>
    <w:panose1 w:val="00000000000000000000"/>
    <w:charset w:val="00"/>
    <w:family w:val="auto"/>
    <w:pitch w:val="default"/>
    <w:sig w:usb0="00000000" w:usb1="00000000" w:usb2="00000000" w:usb3="00000000" w:csb0="00000000" w:csb1="00000000"/>
    <w:embedRegular r:id="rId6" w:fontKey="{234F421C-9F2B-4046-88DD-3C8F1629E47C}"/>
  </w:font>
  <w:font w:name="Segoe Print">
    <w:panose1 w:val="02000600000000000000"/>
    <w:charset w:val="00"/>
    <w:family w:val="auto"/>
    <w:pitch w:val="default"/>
    <w:sig w:usb0="0000028F" w:usb1="00000000" w:usb2="00000000" w:usb3="00000000" w:csb0="2000009F" w:csb1="47010000"/>
  </w:font>
  <w:font w:name="方正黑体简体">
    <w:altName w:val="微软雅黑"/>
    <w:panose1 w:val="00000000000000000000"/>
    <w:charset w:val="00"/>
    <w:family w:val="auto"/>
    <w:pitch w:val="default"/>
    <w:sig w:usb0="00000000" w:usb1="00000000" w:usb2="00000000" w:usb3="00000000" w:csb0="00000000" w:csb1="00000000"/>
    <w:embedRegular r:id="rId7" w:fontKey="{D41025C2-1088-4A5A-B0F8-F4296679C681}"/>
  </w:font>
  <w:font w:name="楷体_GB2312">
    <w:altName w:val="楷体"/>
    <w:panose1 w:val="02010609030101010101"/>
    <w:charset w:val="86"/>
    <w:family w:val="modern"/>
    <w:pitch w:val="default"/>
    <w:sig w:usb0="00000000" w:usb1="00000000" w:usb2="00000000" w:usb3="00000000" w:csb0="00040000" w:csb1="00000000"/>
    <w:embedRegular r:id="rId8" w:fontKey="{EBEF62C1-BBD8-4F6A-AE50-532D83EB0783}"/>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D97691D7">
    <w:panose1 w:val="020B07030202040202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ngsana New">
    <w:altName w:val="DejaVu Math TeX Gyre"/>
    <w:panose1 w:val="02020603050405020304"/>
    <w:charset w:val="00"/>
    <w:family w:val="roman"/>
    <w:pitch w:val="default"/>
    <w:sig w:usb0="00000000" w:usb1="00000000" w:usb2="00000000" w:usb3="00000000" w:csb0="00010001" w:csb1="00000000"/>
  </w:font>
  <w:font w:name="华文中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6C30126"/>
    <w:rsid w:val="09622E44"/>
    <w:rsid w:val="0DAB2E51"/>
    <w:rsid w:val="0EBF4FB6"/>
    <w:rsid w:val="10C006BD"/>
    <w:rsid w:val="159274DA"/>
    <w:rsid w:val="19D25245"/>
    <w:rsid w:val="1A8A0617"/>
    <w:rsid w:val="20675240"/>
    <w:rsid w:val="21BF60EB"/>
    <w:rsid w:val="26926505"/>
    <w:rsid w:val="32A54D0E"/>
    <w:rsid w:val="34982AC3"/>
    <w:rsid w:val="34B90A7B"/>
    <w:rsid w:val="38445F77"/>
    <w:rsid w:val="396C0D34"/>
    <w:rsid w:val="432D1637"/>
    <w:rsid w:val="46F459F4"/>
    <w:rsid w:val="4AF9092E"/>
    <w:rsid w:val="4CE14901"/>
    <w:rsid w:val="50274ECE"/>
    <w:rsid w:val="52BA3119"/>
    <w:rsid w:val="56CE116D"/>
    <w:rsid w:val="5DB04EE7"/>
    <w:rsid w:val="68981C80"/>
    <w:rsid w:val="6BD961C4"/>
    <w:rsid w:val="6C770D95"/>
    <w:rsid w:val="6FDE6E8F"/>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qFormat/>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3198</Words>
  <Characters>3456</Characters>
  <TotalTime>0</TotalTime>
  <ScaleCrop>false</ScaleCrop>
  <LinksUpToDate>false</LinksUpToDate>
  <CharactersWithSpaces>3519</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2026-04-22T03:04:10Z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2052-12.1.0.25865</vt:lpwstr>
  </property>
  <property fmtid="{D5CDD505-2E9C-101B-9397-08002B2CF9AE}" pid="5" name="ICV">
    <vt:lpwstr>B9926FD5E2934713A48A830245036DCA_13</vt:lpwstr>
  </property>
  <property fmtid="{D5CDD505-2E9C-101B-9397-08002B2CF9AE}" pid="6" name="KSOTemplateDocerSaveRecord">
    <vt:lpwstr>eyJoZGlkIjoiZTljNDdiYmE1NzYzMmI3YmVmMTdjZWNlNDcyZmMyYTYiLCJ1c2VySWQiOiI0MzQyMzM0ODcifQ==</vt:lpwstr>
  </property>
</Properties>
</file>