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ascii="宋体" w:hAnsi="宋体" w:eastAsia="宋体" w:cs="宋体"/>
          <w:b/>
          <w:bCs/>
          <w:kern w:val="0"/>
          <w:sz w:val="44"/>
          <w:szCs w:val="44"/>
          <w:lang w:val="en-US" w:eastAsia="zh-CN" w:bidi="ar-SA"/>
        </w:rPr>
        <w:t>四川旅游发展研究中心课题</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3"/>
      <w:bookmarkStart w:id="1" w:name="OLE_LINK4"/>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2026年度四川旅游发展研究中心课题</w:t>
      </w:r>
      <w:r>
        <w:rPr>
          <w:rFonts w:hint="eastAsia" w:ascii="仿宋_GB2312" w:hAnsi="宋体" w:eastAsia="仿宋_GB2312" w:cs="宋体"/>
          <w:b w:val="0"/>
          <w:bCs w:val="0"/>
          <w:kern w:val="0"/>
          <w:sz w:val="32"/>
          <w:szCs w:val="32"/>
          <w:lang w:val="en-US" w:eastAsia="zh-CN" w:bidi="ar-SA"/>
        </w:rPr>
        <w:t>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16</w:t>
      </w:r>
      <w:r>
        <w:rPr>
          <w:rFonts w:hint="eastAsia" w:ascii="仿宋_GB2312" w:hAnsi="宋体" w:eastAsia="仿宋_GB2312" w:cs="宋体"/>
          <w:kern w:val="0"/>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课题打印申报书五份，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4</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r>
        <w:rPr>
          <w:rFonts w:hint="eastAsia" w:ascii="仿宋_GB2312" w:eastAsia="仿宋_GB2312"/>
          <w:sz w:val="32"/>
          <w:szCs w:val="32"/>
          <w:lang w:val="en-US" w:eastAsia="zh-CN"/>
        </w:rPr>
        <w:t>上午</w:t>
      </w:r>
      <w:r>
        <w:rPr>
          <w:rFonts w:hint="eastAsia" w:ascii="仿宋_GB2312" w:eastAsia="仿宋_GB2312"/>
          <w:sz w:val="32"/>
          <w:szCs w:val="32"/>
        </w:rPr>
        <w:t>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2026年4</w:t>
      </w:r>
      <w:bookmarkStart w:id="2" w:name="_GoBack"/>
      <w:bookmarkEnd w:id="2"/>
      <w:r>
        <w:rPr>
          <w:rFonts w:hint="eastAsia" w:ascii="仿宋_GB2312" w:hAnsi="宋体" w:eastAsia="仿宋_GB2312" w:cs="宋体"/>
          <w:sz w:val="32"/>
          <w:szCs w:val="32"/>
          <w:lang w:val="en-US" w:eastAsia="zh-CN" w:bidi="zh-CN"/>
        </w:rPr>
        <w:t>月9日</w:t>
      </w:r>
    </w:p>
    <w:p w14:paraId="7182648B">
      <w:pPr>
        <w:rPr>
          <w:rFonts w:ascii="Arial"/>
          <w:sz w:val="21"/>
        </w:rPr>
      </w:pPr>
      <w:r>
        <w:rPr>
          <w:rFonts w:ascii="Arial"/>
          <w:sz w:val="21"/>
        </w:rPr>
        <w:br w:type="page"/>
      </w:r>
    </w:p>
    <w:p w14:paraId="0A7653C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0" w:afterAutospacing="0" w:line="569" w:lineRule="atLeast"/>
        <w:ind w:left="0" w:right="0" w:firstLine="0"/>
        <w:jc w:val="center"/>
        <w:rPr>
          <w:rFonts w:ascii="var(--docx-minorHAnsi-font)" w:hAnsi="var(--docx-minorHAnsi-font)" w:eastAsia="var(--docx-minorHAnsi-font)" w:cs="var(--docx-minorHAnsi-font)"/>
          <w:sz w:val="21"/>
          <w:szCs w:val="21"/>
        </w:rPr>
      </w:pPr>
      <w:r>
        <w:rPr>
          <w:rFonts w:ascii="方正黑体简体" w:hAnsi="方正黑体简体" w:eastAsia="方正黑体简体" w:cs="方正黑体简体"/>
          <w:b/>
          <w:bCs/>
          <w:sz w:val="32"/>
          <w:szCs w:val="32"/>
          <w:bdr w:val="none" w:color="auto" w:sz="0" w:space="0"/>
        </w:rPr>
        <w:t>四川省哲学社会科学重点研究基地</w:t>
      </w:r>
    </w:p>
    <w:p w14:paraId="59BBA59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0" w:afterAutospacing="0" w:line="569" w:lineRule="atLeast"/>
        <w:ind w:left="0" w:right="0" w:firstLine="0"/>
        <w:jc w:val="center"/>
        <w:rPr>
          <w:rFonts w:hint="default" w:ascii="var(--docx-minorHAnsi-font)" w:hAnsi="var(--docx-minorHAnsi-font)" w:eastAsia="var(--docx-minorHAnsi-font)" w:cs="var(--docx-minorHAnsi-font)"/>
          <w:sz w:val="21"/>
          <w:szCs w:val="21"/>
        </w:rPr>
      </w:pPr>
      <w:r>
        <w:rPr>
          <w:rFonts w:hint="default" w:ascii="方正黑体简体" w:hAnsi="方正黑体简体" w:eastAsia="方正黑体简体" w:cs="方正黑体简体"/>
          <w:b/>
          <w:bCs/>
          <w:sz w:val="32"/>
          <w:szCs w:val="32"/>
          <w:bdr w:val="none" w:color="auto" w:sz="0" w:space="0"/>
        </w:rPr>
        <w:t>四川旅游发展研究中心2026年度开放课题申报通知</w:t>
      </w:r>
    </w:p>
    <w:p w14:paraId="5AE5350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var(--docx-minorHAnsi-font)" w:hAnsi="var(--docx-minorHAnsi-font)" w:eastAsia="var(--docx-minorHAnsi-font)" w:cs="var(--docx-minorHAnsi-font)"/>
          <w:sz w:val="21"/>
          <w:szCs w:val="21"/>
        </w:rPr>
      </w:pPr>
    </w:p>
    <w:p w14:paraId="03397FE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p>
    <w:p w14:paraId="14BCAB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根据《四川省哲学社会科学重点研究基地管理办法（修订）》和《四川省高等学校人文社会科学重点研究基地管理办法》，现将本中心2026年度项目申报有关事项公告如下：</w:t>
      </w:r>
    </w:p>
    <w:p w14:paraId="0E2F12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一、平台简介</w:t>
      </w:r>
    </w:p>
    <w:p w14:paraId="10523A6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四川旅游发展研究中心</w:t>
      </w:r>
      <w:r>
        <w:rPr>
          <w:rFonts w:hint="default" w:ascii="Times New Roman" w:hAnsi="Times New Roman" w:eastAsia="var(--docx-minorHAnsi-font)" w:cs="Times New Roman"/>
          <w:sz w:val="28"/>
          <w:szCs w:val="28"/>
          <w:bdr w:val="none" w:color="auto" w:sz="0" w:space="0"/>
          <w:shd w:val="clear" w:fill="FFFFFF"/>
          <w:lang w:val="en-US"/>
        </w:rPr>
        <w:t>是</w:t>
      </w:r>
      <w:r>
        <w:rPr>
          <w:rFonts w:hint="default" w:ascii="Times New Roman" w:hAnsi="Times New Roman" w:eastAsia="var(--docx-minorHAnsi-font)" w:cs="Times New Roman"/>
          <w:sz w:val="28"/>
          <w:szCs w:val="28"/>
          <w:bdr w:val="none" w:color="auto" w:sz="0" w:space="0"/>
          <w:shd w:val="clear" w:fill="FFFFFF"/>
          <w:lang/>
        </w:rPr>
        <w:t>四川省哲学社会科学重点研究基地，是四川乃至西部最重要的旅游研究基地之一。主要围绕四川旅游发展重大发展问题组织专家研究，促进旅游学科建设发展，繁荣四川旅游理论，服务四川旅游学科发展。响应国家和四川省文旅发展战略，紧密结合文旅发展最新前沿，中心主要研究方向包括：第一，文旅融合新业态培育与消费新场景创造。顺应“文旅+百业+AI+”融合发展导向新兴业态，创造沉浸式、高品质文旅消费新场景，激发文旅消费潜能。第二，世界遗产地保护与文旅融合高质量发展。世界遗产地的保护传承、活化利用与能级提升，探索文化遗产与旅游深度融合的创新路径，构建世界级旅游目的地的核心竞争力。第三，乡村文旅振兴与农民增收长效机制。立足乡村振兴战略，探索农文旅融合发展的产业共同体构建路径，挖掘非遗、农业全产业链等资源价值，建立联农带农长效机制，实现文旅发展与农民增收的协同共进。</w:t>
      </w:r>
    </w:p>
    <w:p w14:paraId="720FE8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p>
    <w:p w14:paraId="384FEF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二、资助计划</w:t>
      </w:r>
    </w:p>
    <w:p w14:paraId="45815E3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82" w:right="0" w:firstLine="281"/>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（一）面上项目资助</w:t>
      </w:r>
    </w:p>
    <w:p w14:paraId="1584EC9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21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1.重点项目2项：资助额度：1.0万元/项。</w:t>
      </w:r>
    </w:p>
    <w:p w14:paraId="24B2371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21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2.一般项目9项：资助额度：0.5万元/项。</w:t>
      </w:r>
    </w:p>
    <w:p w14:paraId="68A0F78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21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3.自筹项目5项：自筹项目经费由项目负责人自己承担。</w:t>
      </w:r>
    </w:p>
    <w:p w14:paraId="45E3E0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482" w:right="0" w:firstLine="281"/>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（二）乐山专项资助</w:t>
      </w:r>
    </w:p>
    <w:p w14:paraId="667CD2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84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        1.重点项目1项：资助额度：1.0万元/项。</w:t>
      </w:r>
    </w:p>
    <w:p w14:paraId="6480758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84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        2.一般项目4项：资助额度：0.5万元/项。</w:t>
      </w:r>
    </w:p>
    <w:p w14:paraId="431416F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84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        3.自筹项目4项：自筹项目经费由项目负责人自己承担。</w:t>
      </w:r>
    </w:p>
    <w:p w14:paraId="1B30C3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三、申报要求</w:t>
      </w:r>
    </w:p>
    <w:p w14:paraId="525246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课题申报人按要求认真填写申报书，课题申报单位加强项目申报的组织、指导和审核，保证申报质量。为保证评审工作的公正性，严格评审纪律，在评审会召开之前，任何单位或个人均不得以任何名义走访评审专家，一经发现，取消本次申报资格。申请选题的研究领域和方向，原则上应以本研究中心公布的项目指南为依据，具体题目可根据指南方向自行设计。此外，课题申报人需与本科研平台人员合作申报。</w:t>
      </w:r>
    </w:p>
    <w:p w14:paraId="401534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四、成果要求</w:t>
      </w:r>
    </w:p>
    <w:p w14:paraId="3C752F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shd w:val="clear" w:fill="FFFFFF"/>
          <w:lang/>
        </w:rPr>
        <w:t>（一）重点项目</w:t>
      </w:r>
    </w:p>
    <w:p w14:paraId="363927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结题须满足下列条件之一：（1）至少2篇论文，其中1篇中文核心期刊论文；（2）研究成果获得市级及以上领导肯定性批示或被市厅级机构采纳（需要采纳证明并加盖公章）；（3）研究报告，字数不少于6万字，重复率要求低于10%，须通过中心组织的专家鉴定。</w:t>
      </w:r>
    </w:p>
    <w:p w14:paraId="7B1229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shd w:val="clear" w:fill="FFFFFF"/>
          <w:lang/>
        </w:rPr>
        <w:t>（二）一般项目</w:t>
      </w:r>
    </w:p>
    <w:p w14:paraId="53A64D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结题须满足下列条件之一：（1）1篇中文核心期刊或2篇普通期刊论文；（2）研究成果获得县处级领导肯定性批示；（3）研究报告，不少于3万字，重复率要求低于10%，须通过中心组织的专家鉴定。</w:t>
      </w:r>
    </w:p>
    <w:p w14:paraId="19C916A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shd w:val="clear" w:fill="FFFFFF"/>
          <w:lang/>
        </w:rPr>
        <w:t>（三）自筹项目</w:t>
      </w:r>
    </w:p>
    <w:p w14:paraId="379CBE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自筹项目经费由项目负责人自己承担，结题须公开发表学术论文1篇。</w:t>
      </w:r>
    </w:p>
    <w:p w14:paraId="25649CC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r>
        <w:rPr>
          <w:rFonts w:ascii="楷体_GB2312" w:hAnsi="var(--docx-minorHAnsi-font)" w:eastAsia="楷体_GB2312" w:cs="楷体_GB2312"/>
          <w:sz w:val="24"/>
          <w:szCs w:val="24"/>
          <w:bdr w:val="none" w:color="auto" w:sz="0" w:space="0"/>
          <w:shd w:val="clear" w:fill="FFFFFF"/>
          <w:lang/>
        </w:rPr>
        <w:t>（注：</w:t>
      </w:r>
      <w:r>
        <w:rPr>
          <w:rFonts w:hint="default" w:ascii="楷体_GB2312" w:hAnsi="var(--docx-minorHAnsi-font)" w:eastAsia="楷体_GB2312" w:cs="楷体_GB2312"/>
          <w:sz w:val="24"/>
          <w:szCs w:val="24"/>
          <w:bdr w:val="none" w:color="auto" w:sz="0" w:space="0"/>
          <w:shd w:val="clear" w:fill="FFFFFF"/>
          <w:lang/>
        </w:rPr>
        <w:t>①项目成果发表、出版时须注明“四川省哲学社会科学重点研究基地四川旅游发展研究中心资助及立项编号”。乐山专项项目成果发表、出版时须注明“四川省哲学社会科学重点研究基地四川旅游发展研究中心资助及立项编号”，</w:t>
      </w:r>
      <w:r>
        <w:rPr>
          <w:rFonts w:hint="default" w:ascii="楷体_GB2312" w:hAnsi="var(--docx-minorHAnsi-font)" w:eastAsia="楷体_GB2312" w:cs="楷体_GB2312"/>
          <w:sz w:val="24"/>
          <w:szCs w:val="24"/>
          <w:bdr w:val="none" w:color="auto" w:sz="0" w:space="0"/>
          <w:shd w:val="clear" w:fill="FFFFFF"/>
          <w:lang w:val="en-US"/>
        </w:rPr>
        <w:t>否则</w:t>
      </w:r>
      <w:r>
        <w:rPr>
          <w:rFonts w:hint="default" w:ascii="楷体_GB2312" w:hAnsi="var(--docx-minorHAnsi-font)" w:eastAsia="楷体_GB2312" w:cs="楷体_GB2312"/>
          <w:sz w:val="24"/>
          <w:szCs w:val="24"/>
          <w:bdr w:val="none" w:color="auto" w:sz="0" w:space="0"/>
          <w:shd w:val="clear" w:fill="FFFFFF"/>
          <w:lang/>
        </w:rPr>
        <w:t>不能作为课题结项的成果依据；②提交结题的著作、论文、报告须与课题高度相关，研究报告重复率以CNKI数据库为准，并加盖查重单位图书馆鲜章。）</w:t>
      </w:r>
    </w:p>
    <w:p w14:paraId="79840A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四、经费拨付方式和时限</w:t>
      </w:r>
    </w:p>
    <w:p w14:paraId="4A1FFC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立项课题经费采取分期拨付。项目立项后，先拨付资助金额的 50%；结题通过后，拨付剩余经费，结题不通过者，剩余经费不予支付。</w:t>
      </w:r>
    </w:p>
    <w:p w14:paraId="7F72CC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本中心立项课题研究周期均为两年，执行时间从项目立项公告日起，项目执行周期过半达到课题结项要求可申请结题；不受理延期结题申请；对于超期一年以上的项目做终止处理，不再受理结项申请，剩余经费也不再划拨。</w:t>
      </w:r>
    </w:p>
    <w:p w14:paraId="3F0E2F2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五、课题申报受理时间</w:t>
      </w:r>
    </w:p>
    <w:p w14:paraId="1D74259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从2026年</w:t>
      </w:r>
      <w:r>
        <w:rPr>
          <w:rFonts w:hint="default" w:ascii="Times New Roman" w:hAnsi="Times New Roman" w:eastAsia="var(--docx-minorHAnsi-font)" w:cs="Times New Roman"/>
          <w:sz w:val="28"/>
          <w:szCs w:val="28"/>
          <w:bdr w:val="none" w:color="auto" w:sz="0" w:space="0"/>
          <w:shd w:val="clear" w:fill="FFFFFF"/>
          <w:lang w:val="en-US"/>
        </w:rPr>
        <w:t>3</w:t>
      </w:r>
      <w:r>
        <w:rPr>
          <w:rFonts w:hint="default" w:ascii="Times New Roman" w:hAnsi="Times New Roman" w:eastAsia="var(--docx-minorHAnsi-font)" w:cs="Times New Roman"/>
          <w:sz w:val="28"/>
          <w:szCs w:val="28"/>
          <w:bdr w:val="none" w:color="auto" w:sz="0" w:space="0"/>
          <w:shd w:val="clear" w:fill="FFFFFF"/>
          <w:lang/>
        </w:rPr>
        <w:t>月</w:t>
      </w:r>
      <w:r>
        <w:rPr>
          <w:rFonts w:hint="default" w:ascii="Times New Roman" w:hAnsi="Times New Roman" w:eastAsia="var(--docx-minorHAnsi-font)" w:cs="Times New Roman"/>
          <w:sz w:val="28"/>
          <w:szCs w:val="28"/>
          <w:bdr w:val="none" w:color="auto" w:sz="0" w:space="0"/>
          <w:shd w:val="clear" w:fill="FFFFFF"/>
          <w:lang w:val="en-US"/>
        </w:rPr>
        <w:t>24</w:t>
      </w:r>
      <w:r>
        <w:rPr>
          <w:rFonts w:hint="default" w:ascii="Times New Roman" w:hAnsi="Times New Roman" w:eastAsia="var(--docx-minorHAnsi-font)" w:cs="Times New Roman"/>
          <w:sz w:val="28"/>
          <w:szCs w:val="28"/>
          <w:bdr w:val="none" w:color="auto" w:sz="0" w:space="0"/>
          <w:shd w:val="clear" w:fill="FFFFFF"/>
          <w:lang/>
        </w:rPr>
        <w:t>日起至2026年</w:t>
      </w:r>
      <w:r>
        <w:rPr>
          <w:rFonts w:hint="default" w:ascii="Times New Roman" w:hAnsi="Times New Roman" w:eastAsia="var(--docx-minorHAnsi-font)" w:cs="Times New Roman"/>
          <w:sz w:val="28"/>
          <w:szCs w:val="28"/>
          <w:bdr w:val="none" w:color="auto" w:sz="0" w:space="0"/>
          <w:shd w:val="clear" w:fill="FFFFFF"/>
          <w:lang w:val="en-US"/>
        </w:rPr>
        <w:t>4</w:t>
      </w:r>
      <w:r>
        <w:rPr>
          <w:rFonts w:hint="default" w:ascii="Times New Roman" w:hAnsi="Times New Roman" w:eastAsia="var(--docx-minorHAnsi-font)" w:cs="Times New Roman"/>
          <w:sz w:val="28"/>
          <w:szCs w:val="28"/>
          <w:bdr w:val="none" w:color="auto" w:sz="0" w:space="0"/>
          <w:shd w:val="clear" w:fill="FFFFFF"/>
          <w:lang/>
        </w:rPr>
        <w:t>月</w:t>
      </w:r>
      <w:r>
        <w:rPr>
          <w:rFonts w:hint="default" w:ascii="Times New Roman" w:hAnsi="Times New Roman" w:eastAsia="var(--docx-minorHAnsi-font)" w:cs="Times New Roman"/>
          <w:sz w:val="28"/>
          <w:szCs w:val="28"/>
          <w:bdr w:val="none" w:color="auto" w:sz="0" w:space="0"/>
          <w:shd w:val="clear" w:fill="FFFFFF"/>
          <w:lang w:val="en-US"/>
        </w:rPr>
        <w:t>2</w:t>
      </w:r>
      <w:r>
        <w:rPr>
          <w:rFonts w:hint="default" w:ascii="Times New Roman" w:hAnsi="Times New Roman" w:eastAsia="var(--docx-minorHAnsi-font)" w:cs="Times New Roman"/>
          <w:sz w:val="28"/>
          <w:szCs w:val="28"/>
          <w:bdr w:val="none" w:color="auto" w:sz="0" w:space="0"/>
          <w:shd w:val="clear" w:fill="FFFFFF"/>
          <w:lang/>
        </w:rPr>
        <w:t>0日截止。请申报单位和个人于截止日期前将审查合格的申报书（每项一式5份，其中1份原件，4份复印件）通过顺丰快递寄送本中心，逾期不再受理。申报书电子文档和申报统计表发至中心邮箱sclyyj@163.com，电子文档以“单位-姓名-题目”的格式命名，不符合格式要求的申报书本中心不予受理。</w:t>
      </w:r>
    </w:p>
    <w:p w14:paraId="60F35CA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温馨提示：必须准确清晰填写联系方式，确保可</w:t>
      </w:r>
      <w:r>
        <w:rPr>
          <w:rFonts w:hint="default" w:ascii="Times New Roman" w:hAnsi="Times New Roman" w:eastAsia="var(--docx-minorHAnsi-font)" w:cs="Times New Roman"/>
          <w:sz w:val="28"/>
          <w:szCs w:val="28"/>
          <w:bdr w:val="none" w:color="auto" w:sz="0" w:space="0"/>
          <w:shd w:val="clear" w:fill="FFFFFF"/>
          <w:lang w:val="en-US"/>
        </w:rPr>
        <w:t>联系</w:t>
      </w:r>
      <w:r>
        <w:rPr>
          <w:rFonts w:hint="default" w:ascii="Times New Roman" w:hAnsi="Times New Roman" w:eastAsia="var(--docx-minorHAnsi-font)" w:cs="Times New Roman"/>
          <w:sz w:val="28"/>
          <w:szCs w:val="28"/>
          <w:bdr w:val="none" w:color="auto" w:sz="0" w:space="0"/>
          <w:shd w:val="clear" w:fill="FFFFFF"/>
          <w:lang/>
        </w:rPr>
        <w:t>。</w:t>
      </w:r>
    </w:p>
    <w:p w14:paraId="44A6F3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b/>
          <w:bCs/>
          <w:sz w:val="28"/>
          <w:szCs w:val="28"/>
          <w:bdr w:val="none" w:color="auto" w:sz="0" w:space="0"/>
        </w:rPr>
        <w:t>六、联系方式</w:t>
      </w:r>
    </w:p>
    <w:p w14:paraId="74DAFD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联系人：吴老师</w:t>
      </w:r>
    </w:p>
    <w:p w14:paraId="532939B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办公电话：0833-2183570 ；18608330988</w:t>
      </w:r>
    </w:p>
    <w:p w14:paraId="2A5FC3F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电子邮箱：sclyyj@163.com</w:t>
      </w:r>
    </w:p>
    <w:p w14:paraId="1E9031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网址：http://lyfz.lsnu.edu.cn/</w:t>
      </w:r>
    </w:p>
    <w:p w14:paraId="6F06FC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41"/>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通讯地址：四川省乐山市市中区滨河路778号 四川旅游发展研究中心（614004）</w:t>
      </w:r>
    </w:p>
    <w:p w14:paraId="1D8FD1E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p>
    <w:p w14:paraId="5C2D6B1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附件：</w:t>
      </w:r>
    </w:p>
    <w:p w14:paraId="00E2ABE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28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1.2026年度四川旅游发展研究中心课题指南</w:t>
      </w:r>
    </w:p>
    <w:p w14:paraId="12F587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28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2.2026年四川旅游发展中心课题申报书</w:t>
      </w:r>
    </w:p>
    <w:p w14:paraId="086229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28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sz w:val="28"/>
          <w:szCs w:val="28"/>
          <w:bdr w:val="none" w:color="auto" w:sz="0" w:space="0"/>
          <w:shd w:val="clear" w:fill="FFFFFF"/>
          <w:lang/>
        </w:rPr>
        <w:t>3.2026年四川旅游发展中心课题申报统计表</w:t>
      </w:r>
    </w:p>
    <w:p w14:paraId="1AC5B2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p>
    <w:p w14:paraId="4D2CE2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p>
    <w:p w14:paraId="3235D6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default" w:ascii="var(--docx-minorHAnsi-font)" w:hAnsi="var(--docx-minorHAnsi-font)" w:eastAsia="var(--docx-minorHAnsi-font)" w:cs="var(--docx-minorHAnsi-font)"/>
          <w:sz w:val="21"/>
          <w:szCs w:val="21"/>
        </w:rPr>
      </w:pPr>
    </w:p>
    <w:p w14:paraId="1F87C0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04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color w:val="666666"/>
          <w:sz w:val="28"/>
          <w:szCs w:val="28"/>
          <w:bdr w:val="none" w:color="auto" w:sz="0" w:space="0"/>
          <w:shd w:val="clear" w:fill="FFFFFF"/>
          <w:lang/>
        </w:rPr>
        <w:t>四川旅游发展研究中心</w:t>
      </w:r>
    </w:p>
    <w:p w14:paraId="6A423F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5600"/>
        <w:jc w:val="both"/>
        <w:rPr>
          <w:rFonts w:hint="default" w:ascii="var(--docx-minorHAnsi-font)" w:hAnsi="var(--docx-minorHAnsi-font)" w:eastAsia="var(--docx-minorHAnsi-font)" w:cs="var(--docx-minorHAnsi-font)"/>
          <w:sz w:val="21"/>
          <w:szCs w:val="21"/>
        </w:rPr>
      </w:pPr>
      <w:r>
        <w:rPr>
          <w:rFonts w:hint="default" w:ascii="Times New Roman" w:hAnsi="Times New Roman" w:eastAsia="var(--docx-minorHAnsi-font)" w:cs="Times New Roman"/>
          <w:color w:val="666666"/>
          <w:sz w:val="28"/>
          <w:szCs w:val="28"/>
          <w:bdr w:val="none" w:color="auto" w:sz="0" w:space="0"/>
          <w:shd w:val="clear" w:fill="FFFFFF"/>
          <w:lang/>
        </w:rPr>
        <w:t>2026年3月</w:t>
      </w:r>
      <w:r>
        <w:rPr>
          <w:rFonts w:hint="default" w:ascii="Times New Roman" w:hAnsi="Times New Roman" w:eastAsia="var(--docx-minorHAnsi-font)" w:cs="Times New Roman"/>
          <w:color w:val="666666"/>
          <w:sz w:val="28"/>
          <w:szCs w:val="28"/>
          <w:bdr w:val="none" w:color="auto" w:sz="0" w:space="0"/>
          <w:shd w:val="clear" w:fill="FFFFFF"/>
          <w:lang w:val="en-US"/>
        </w:rPr>
        <w:t>24</w:t>
      </w:r>
      <w:r>
        <w:rPr>
          <w:rFonts w:hint="default" w:ascii="Times New Roman" w:hAnsi="Times New Roman" w:eastAsia="var(--docx-minorHAnsi-font)" w:cs="Times New Roman"/>
          <w:color w:val="666666"/>
          <w:sz w:val="28"/>
          <w:szCs w:val="28"/>
          <w:bdr w:val="none" w:color="auto" w:sz="0" w:space="0"/>
          <w:shd w:val="clear" w:fill="FFFFFF"/>
          <w:lang/>
        </w:rPr>
        <w:t>日</w:t>
      </w:r>
    </w:p>
    <w:p w14:paraId="70BA7C5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var(--docx-minorHAnsi-font)" w:hAnsi="var(--docx-minorHAnsi-font)" w:eastAsia="var(--docx-minorHAnsi-font)" w:cs="var(--docx-minorHAnsi-font)"/>
          <w:sz w:val="21"/>
          <w:szCs w:val="21"/>
        </w:rPr>
      </w:pPr>
    </w:p>
    <w:p w14:paraId="691BBDF8">
      <w:pPr>
        <w:rPr>
          <w:rFonts w:hint="default" w:ascii="仿宋_GB2312" w:hAnsi="仿宋_GB2312" w:eastAsia="仿宋_GB2312" w:cs="仿宋_GB2312"/>
          <w:color w:val="000000"/>
          <w:sz w:val="31"/>
          <w:szCs w:val="31"/>
        </w:rPr>
      </w:pPr>
      <w:r>
        <w:rPr>
          <w:rFonts w:hint="default" w:ascii="仿宋_GB2312" w:hAnsi="仿宋_GB2312" w:eastAsia="仿宋_GB2312" w:cs="仿宋_GB2312"/>
          <w:color w:val="000000"/>
          <w:sz w:val="31"/>
          <w:szCs w:val="31"/>
        </w:rPr>
        <w:br w:type="page"/>
      </w:r>
      <w:r>
        <w:rPr>
          <w:rFonts w:hint="default" w:ascii="仿宋_GB2312" w:hAnsi="仿宋_GB2312" w:eastAsia="仿宋_GB2312" w:cs="仿宋_GB2312"/>
          <w:color w:val="000000"/>
          <w:sz w:val="31"/>
          <w:szCs w:val="31"/>
        </w:rPr>
        <w:br w:type="page"/>
      </w:r>
    </w:p>
    <w:p w14:paraId="6C5DD6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0" w:afterAutospacing="0" w:line="569" w:lineRule="atLeast"/>
        <w:ind w:left="0" w:right="0" w:firstLine="0"/>
        <w:jc w:val="center"/>
        <w:rPr>
          <w:rFonts w:ascii="微软雅黑" w:hAnsi="微软雅黑" w:eastAsia="微软雅黑" w:cs="微软雅黑"/>
          <w:i w:val="0"/>
          <w:iCs w:val="0"/>
          <w:caps w:val="0"/>
          <w:color w:val="000000"/>
          <w:spacing w:val="0"/>
          <w:sz w:val="21"/>
          <w:szCs w:val="21"/>
        </w:rPr>
      </w:pPr>
      <w:r>
        <w:rPr>
          <w:rFonts w:ascii="方正黑体简体" w:hAnsi="方正黑体简体" w:eastAsia="方正黑体简体" w:cs="方正黑体简体"/>
          <w:b/>
          <w:bCs/>
          <w:i w:val="0"/>
          <w:iCs w:val="0"/>
          <w:caps w:val="0"/>
          <w:color w:val="000000"/>
          <w:spacing w:val="0"/>
          <w:sz w:val="40"/>
          <w:szCs w:val="40"/>
          <w:bdr w:val="none" w:color="auto" w:sz="0" w:space="0"/>
          <w:shd w:val="clear" w:fill="FFFFFF"/>
        </w:rPr>
        <w:t>课题指南</w:t>
      </w:r>
    </w:p>
    <w:p w14:paraId="7A7C50A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rPr>
      </w:pPr>
      <w:r>
        <w:rPr>
          <w:rFonts w:ascii="楷体_GB2312" w:hAnsi="微软雅黑" w:eastAsia="楷体_GB2312" w:cs="楷体_GB2312"/>
          <w:b/>
          <w:bCs/>
          <w:i w:val="0"/>
          <w:iCs w:val="0"/>
          <w:caps w:val="0"/>
          <w:color w:val="000000"/>
          <w:spacing w:val="0"/>
          <w:sz w:val="28"/>
          <w:szCs w:val="28"/>
          <w:bdr w:val="none" w:color="auto" w:sz="0" w:space="0"/>
          <w:shd w:val="clear" w:fill="FFFFFF"/>
        </w:rPr>
        <w:t>一、面上项目指南</w:t>
      </w:r>
    </w:p>
    <w:p w14:paraId="647754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ascii="仿宋" w:hAnsi="仿宋" w:eastAsia="仿宋" w:cs="仿宋"/>
          <w:i w:val="0"/>
          <w:iCs w:val="0"/>
          <w:caps w:val="0"/>
          <w:color w:val="000000"/>
          <w:spacing w:val="0"/>
          <w:sz w:val="28"/>
          <w:szCs w:val="28"/>
          <w:bdr w:val="none" w:color="auto" w:sz="0" w:space="0"/>
          <w:shd w:val="clear" w:fill="FFFFFF"/>
        </w:rPr>
        <w:t>1</w:t>
      </w:r>
      <w:r>
        <w:rPr>
          <w:rFonts w:hint="eastAsia" w:ascii="仿宋" w:hAnsi="仿宋" w:eastAsia="仿宋" w:cs="仿宋"/>
          <w:i w:val="0"/>
          <w:iCs w:val="0"/>
          <w:caps w:val="0"/>
          <w:color w:val="000000"/>
          <w:spacing w:val="0"/>
          <w:sz w:val="28"/>
          <w:szCs w:val="28"/>
          <w:bdr w:val="none" w:color="auto" w:sz="0" w:space="0"/>
          <w:shd w:val="clear" w:fill="FFFFFF"/>
        </w:rPr>
        <w:t>.世界遗产地文旅体融合与高质量消费场景创造</w:t>
      </w:r>
    </w:p>
    <w:p w14:paraId="337E5D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2.产业融合中的多主体价值创造与文旅消费潜力推进</w:t>
      </w:r>
    </w:p>
    <w:p w14:paraId="6015173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3.山地旅游高质量发展的机制、体制及安全保障体系</w:t>
      </w:r>
    </w:p>
    <w:p w14:paraId="4F9E594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4.川藏旅游廊道建设与318公路生态修复</w:t>
      </w:r>
    </w:p>
    <w:p w14:paraId="069A8F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5.民族地区交通建设与地区社会福祉提升</w:t>
      </w:r>
    </w:p>
    <w:p w14:paraId="7398298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6.四川“低空经济+文旅”融合发展研究</w:t>
      </w:r>
    </w:p>
    <w:p w14:paraId="603DF9B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7.高原旅游发展与环喜马拉雅旅游廊道建设</w:t>
      </w:r>
    </w:p>
    <w:p w14:paraId="3761D8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8.人工智能赋能四川文旅行业数智化转型与创新应用</w:t>
      </w:r>
    </w:p>
    <w:p w14:paraId="7B9114D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9.多源数据融合与智能决策系统在文旅营销中的应用</w:t>
      </w:r>
    </w:p>
    <w:p w14:paraId="313771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10.“文旅+百业”融合发展动力机制与产业生态构建</w:t>
      </w:r>
    </w:p>
    <w:p w14:paraId="77A245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11.文化与旅游深度融合发展的机制创新与效能评价</w:t>
      </w:r>
    </w:p>
    <w:p w14:paraId="7F8411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12.四川世界文化遗产保护与区域协同发展</w:t>
      </w:r>
    </w:p>
    <w:p w14:paraId="0022D2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13.四川“演艺+赛事+展会+旅游”联动发展模式</w:t>
      </w:r>
    </w:p>
    <w:p w14:paraId="16F353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14.低空经济与体育旅游赋能四川山地旅游创新发展</w:t>
      </w:r>
    </w:p>
    <w:p w14:paraId="50D1497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15.生态+文旅+康养融合发展的创新模式</w:t>
      </w:r>
    </w:p>
    <w:p w14:paraId="2A4E2A9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16.音舞艺术赋能民族地区文旅融合路径</w:t>
      </w:r>
    </w:p>
    <w:p w14:paraId="60316D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17.文旅消费新场景的生成逻辑与价值评估</w:t>
      </w:r>
    </w:p>
    <w:p w14:paraId="7B115DA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18.沉浸式文旅产品开发与运营模式创新</w:t>
      </w:r>
    </w:p>
    <w:p w14:paraId="500B1A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19.数字藏品与文旅IP价值共创</w:t>
      </w:r>
    </w:p>
    <w:p w14:paraId="6AA2C22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20.乡村文旅新场景培育与联农带农机制构建</w:t>
      </w:r>
    </w:p>
    <w:p w14:paraId="4BEB2E4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21.非遗生产性保护与非遗工坊带动就业增收</w:t>
      </w:r>
    </w:p>
    <w:p w14:paraId="513B2A4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22.农业全产业链升级与乡村旅游融合发展</w:t>
      </w:r>
    </w:p>
    <w:p w14:paraId="5F8E241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23.四川乡村文旅人才支撑体系与“产学研用”协同机制</w:t>
      </w:r>
    </w:p>
    <w:p w14:paraId="658E963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24.四川入境旅游促进政策创新与国际游客体验优化</w:t>
      </w:r>
    </w:p>
    <w:p w14:paraId="11F40A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25.文旅产业边界与统计创新</w:t>
      </w:r>
    </w:p>
    <w:p w14:paraId="3AA117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26.红色旅游的思想政治教育功能及其效果评估</w:t>
      </w:r>
      <w:r>
        <w:rPr>
          <w:rFonts w:hint="eastAsia" w:ascii="仿宋" w:hAnsi="仿宋" w:eastAsia="仿宋" w:cs="仿宋"/>
          <w:i w:val="0"/>
          <w:iCs w:val="0"/>
          <w:caps w:val="0"/>
          <w:color w:val="000000"/>
          <w:spacing w:val="0"/>
          <w:sz w:val="28"/>
          <w:szCs w:val="28"/>
          <w:bdr w:val="none" w:color="auto" w:sz="0" w:space="0"/>
          <w:shd w:val="clear" w:fill="FFFFFF"/>
          <w:lang w:val="en-US"/>
        </w:rPr>
        <w:t>研</w:t>
      </w:r>
      <w:r>
        <w:rPr>
          <w:rFonts w:hint="eastAsia" w:ascii="仿宋" w:hAnsi="仿宋" w:eastAsia="仿宋" w:cs="仿宋"/>
          <w:i w:val="0"/>
          <w:iCs w:val="0"/>
          <w:caps w:val="0"/>
          <w:color w:val="000000"/>
          <w:spacing w:val="0"/>
          <w:sz w:val="28"/>
          <w:szCs w:val="28"/>
          <w:bdr w:val="none" w:color="auto" w:sz="0" w:space="0"/>
          <w:shd w:val="clear" w:fill="FFFFFF"/>
        </w:rPr>
        <w:t>究</w:t>
      </w:r>
    </w:p>
    <w:p w14:paraId="57EDBE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27.运用新兴科技引领智慧文旅高质量发展</w:t>
      </w:r>
    </w:p>
    <w:p w14:paraId="1787CB9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28.人工智能助力世界遗产保护</w:t>
      </w:r>
    </w:p>
    <w:p w14:paraId="031557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000000"/>
          <w:spacing w:val="0"/>
          <w:sz w:val="21"/>
          <w:szCs w:val="21"/>
        </w:rPr>
      </w:pPr>
      <w:r>
        <w:rPr>
          <w:rFonts w:hint="default" w:ascii="楷体_GB2312" w:hAnsi="微软雅黑" w:eastAsia="楷体_GB2312" w:cs="楷体_GB2312"/>
          <w:b/>
          <w:bCs/>
          <w:i w:val="0"/>
          <w:iCs w:val="0"/>
          <w:caps w:val="0"/>
          <w:color w:val="000000"/>
          <w:spacing w:val="0"/>
          <w:sz w:val="28"/>
          <w:szCs w:val="28"/>
          <w:bdr w:val="none" w:color="auto" w:sz="0" w:space="0"/>
          <w:shd w:val="clear" w:fill="FFFFFF"/>
        </w:rPr>
        <w:t>二. 乐山专项指南</w:t>
      </w:r>
    </w:p>
    <w:p w14:paraId="5EB225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1.乐山茶产业高质量发展路径研究</w:t>
      </w:r>
    </w:p>
    <w:p w14:paraId="3033F4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2.加快高质量建设世界重要旅游目的地路径研究（以峨眉山为例）</w:t>
      </w:r>
    </w:p>
    <w:p w14:paraId="4C57BC0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3.岷江世界文化遗产旅游廊道空间构建与跨区域协同机制研究</w:t>
      </w:r>
    </w:p>
    <w:p w14:paraId="17240DC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4.AI大模型与数字技术赋能乐山世界遗产地智慧旅游</w:t>
      </w:r>
    </w:p>
    <w:p w14:paraId="6416CEC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5.“景城一体”与乐山世界级旅游目的地核心区能级提升</w:t>
      </w:r>
    </w:p>
    <w:p w14:paraId="32FBC3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6.乐山建设享誉全球的世界重要旅游目的地的战略路径与国际竞争力提升</w:t>
      </w:r>
    </w:p>
    <w:p w14:paraId="04C2E0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7.世界遗产保护与城市更新协同发展研究</w:t>
      </w:r>
    </w:p>
    <w:p w14:paraId="4DD222F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8.乐山新兴业态培育研究（低空经济+工业旅游）</w:t>
      </w:r>
    </w:p>
    <w:p w14:paraId="2EA21F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9.乐山入境旅游市场振兴与国际营销体系构建研究</w:t>
      </w:r>
    </w:p>
    <w:p w14:paraId="7548364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10.乐山机场通航背景下的航空旅游客源市场激活与产品体系构建研究</w:t>
      </w:r>
    </w:p>
    <w:p w14:paraId="7578C59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11.“乐山味道”世界美食之都创建路径与全产业链开发研究</w:t>
      </w:r>
    </w:p>
    <w:p w14:paraId="43DA0DE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12.乐山文化创意产业高质量发展与“乐山礼物”品牌矩阵构建研究</w:t>
      </w:r>
    </w:p>
    <w:p w14:paraId="6AEFF71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13.乐山“赛演娱乐”产业生态培育与消费市场激活研究</w:t>
      </w:r>
    </w:p>
    <w:p w14:paraId="00C59FC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14.乐山康养旅居产业高质量发展与生态价值转化研究</w:t>
      </w:r>
    </w:p>
    <w:p w14:paraId="6B827CA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15.乐山“文旅+百业”融合发展的产业生态构建与政策协同研究</w:t>
      </w:r>
    </w:p>
    <w:p w14:paraId="37967C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16.乐山文旅消费新场景的生成逻辑与价值评估研究</w:t>
      </w:r>
    </w:p>
    <w:p w14:paraId="3EDF659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17.人工智能赋能乐山文旅数智化转型与应用场景示范</w:t>
      </w:r>
    </w:p>
    <w:p w14:paraId="7B17F3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18.乐山“农文旅融合”产业共同体构建与农民增收长效机制</w:t>
      </w:r>
    </w:p>
    <w:p w14:paraId="5E05E58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19.乐山县域乡村民宿集聚区高质量发展与社区参与机制</w:t>
      </w:r>
    </w:p>
    <w:p w14:paraId="14DE501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20.非物质文化遗产生产性保护与非遗工坊带动县域就业增收</w:t>
      </w:r>
    </w:p>
    <w:p w14:paraId="199AFF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21.乐山文化遗产数字化保护与活化利用</w:t>
      </w:r>
    </w:p>
    <w:p w14:paraId="17FB406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22.乐山“文旅+百业”的慢旅游场景构造与实现路径</w:t>
      </w:r>
    </w:p>
    <w:p w14:paraId="2A44EF0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23.“微改造、精提升”理念下乐山历史文化街区的消费场景活化研究</w:t>
      </w:r>
    </w:p>
    <w:p w14:paraId="34C9C78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24.凌云山灵宝塔历史沿革与建筑价值及保护利用研究</w:t>
      </w:r>
    </w:p>
    <w:p w14:paraId="46D7728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25.客流红利视角下乐山大佛景区文旅体验重塑与消费升级路径研究</w:t>
      </w:r>
    </w:p>
    <w:p w14:paraId="3F4F699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26.乐山大佛世界遗产地文旅深度融合发展路径</w:t>
      </w:r>
    </w:p>
    <w:p w14:paraId="0E90081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27.文旅融合视域下彝族漆器文创产品设计</w:t>
      </w:r>
    </w:p>
    <w:p w14:paraId="5BA1692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28.彝族漆器产业化发展现状、问题与对策研究</w:t>
      </w:r>
    </w:p>
    <w:p w14:paraId="1DB8BC2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210" w:right="0" w:firstLine="0"/>
        <w:jc w:val="both"/>
        <w:rPr>
          <w:rFonts w:hint="eastAsia" w:ascii="微软雅黑" w:hAnsi="微软雅黑" w:eastAsia="微软雅黑" w:cs="微软雅黑"/>
          <w:i w:val="0"/>
          <w:iCs w:val="0"/>
          <w:caps w:val="0"/>
          <w:color w:val="000000"/>
          <w:spacing w:val="0"/>
          <w:sz w:val="21"/>
          <w:szCs w:val="21"/>
        </w:rPr>
      </w:pPr>
      <w:r>
        <w:rPr>
          <w:rFonts w:hint="eastAsia" w:ascii="仿宋" w:hAnsi="仿宋" w:eastAsia="仿宋" w:cs="仿宋"/>
          <w:i w:val="0"/>
          <w:iCs w:val="0"/>
          <w:caps w:val="0"/>
          <w:color w:val="000000"/>
          <w:spacing w:val="0"/>
          <w:sz w:val="28"/>
          <w:szCs w:val="28"/>
          <w:bdr w:val="none" w:color="auto" w:sz="0" w:space="0"/>
          <w:shd w:val="clear" w:fill="FFFFFF"/>
        </w:rPr>
        <w:t>29.彝族漆器制作技艺传统村落保护研究</w:t>
      </w:r>
    </w:p>
    <w:p w14:paraId="11DE4A26">
      <w:pPr>
        <w:rPr>
          <w:rFonts w:ascii="微软雅黑" w:hAnsi="微软雅黑" w:eastAsia="微软雅黑" w:cs="微软雅黑"/>
          <w:b/>
          <w:bCs/>
          <w:i w:val="0"/>
          <w:iCs w:val="0"/>
          <w:caps w:val="0"/>
          <w:color w:val="000000"/>
          <w:spacing w:val="0"/>
          <w:sz w:val="41"/>
          <w:szCs w:val="41"/>
        </w:rPr>
      </w:pPr>
      <w:r>
        <w:rPr>
          <w:rFonts w:hint="default" w:ascii="仿宋_GB2312" w:hAnsi="仿宋_GB2312" w:eastAsia="仿宋_GB2312" w:cs="仿宋_GB2312"/>
          <w:color w:val="000000"/>
          <w:sz w:val="31"/>
          <w:szCs w:val="31"/>
        </w:rPr>
        <w:br w:type="page"/>
      </w: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44C3342-1C85-404B-95FC-16379A0C881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FB11381-5A0E-41E8-929B-DBA30BF02E00}"/>
  </w:font>
  <w:font w:name="微软雅黑">
    <w:panose1 w:val="020B0503020204020204"/>
    <w:charset w:val="86"/>
    <w:family w:val="swiss"/>
    <w:pitch w:val="default"/>
    <w:sig w:usb0="80000287" w:usb1="2ACF3C50" w:usb2="00000016" w:usb3="00000000" w:csb0="0004001F" w:csb1="00000000"/>
    <w:embedRegular r:id="rId3" w:fontKey="{6098696B-B29C-4712-84DF-28257A3E5EFC}"/>
  </w:font>
  <w:font w:name="方正小标宋简体">
    <w:panose1 w:val="02000000000000000000"/>
    <w:charset w:val="86"/>
    <w:family w:val="script"/>
    <w:pitch w:val="default"/>
    <w:sig w:usb0="00000001" w:usb1="080E0000" w:usb2="00000000" w:usb3="00000000" w:csb0="00040000" w:csb1="00000000"/>
    <w:embedRegular r:id="rId4" w:fontKey="{F2037B3B-507C-4FC7-97C3-56B3825770DF}"/>
  </w:font>
  <w:font w:name="仿宋_GB2312">
    <w:altName w:val="仿宋"/>
    <w:panose1 w:val="00000000000000000000"/>
    <w:charset w:val="86"/>
    <w:family w:val="modern"/>
    <w:pitch w:val="default"/>
    <w:sig w:usb0="00000000" w:usb1="00000000" w:usb2="00000010" w:usb3="00000000" w:csb0="00040000" w:csb1="00000000"/>
    <w:embedRegular r:id="rId5" w:fontKey="{4BA1A058-937F-4ACC-8AAE-457B0505FB1A}"/>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embedRegular r:id="rId6" w:fontKey="{81963CAE-C34F-424E-A020-3B1A0C13BE51}"/>
  </w:font>
  <w:font w:name="KSOFD97691D7">
    <w:panose1 w:val="020B0703020204020201"/>
    <w:charset w:val="86"/>
    <w:family w:val="auto"/>
    <w:pitch w:val="default"/>
    <w:sig w:usb0="00000001" w:usb1="00000000" w:usb2="00000000" w:usb3="00000000" w:csb0="00040001" w:csb1="00000000"/>
  </w:font>
  <w:font w:name="var(--docx-minorHAnsi-font)">
    <w:altName w:val="Segoe Print"/>
    <w:panose1 w:val="00000000000000000000"/>
    <w:charset w:val="00"/>
    <w:family w:val="auto"/>
    <w:pitch w:val="default"/>
    <w:sig w:usb0="00000000" w:usb1="00000000" w:usb2="00000000" w:usb3="00000000" w:csb0="00000000" w:csb1="00000000"/>
    <w:embedRegular r:id="rId7" w:fontKey="{559F23C1-3D27-48A6-B40B-507ABB40531A}"/>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00"/>
    <w:family w:val="auto"/>
    <w:pitch w:val="default"/>
    <w:sig w:usb0="00000000" w:usb1="00000000" w:usb2="00000000" w:usb3="00000000" w:csb0="00000000" w:csb1="00000000"/>
    <w:embedRegular r:id="rId8" w:fontKey="{FDBE2BB4-38C5-4381-B392-5276F47E2136}"/>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2"/>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2"/>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2"/>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9622E44"/>
    <w:rsid w:val="0DAB2E51"/>
    <w:rsid w:val="0EBF4FB6"/>
    <w:rsid w:val="10C006BD"/>
    <w:rsid w:val="159274DA"/>
    <w:rsid w:val="19D25245"/>
    <w:rsid w:val="1A8A0617"/>
    <w:rsid w:val="20675240"/>
    <w:rsid w:val="21BF60EB"/>
    <w:rsid w:val="32A54D0E"/>
    <w:rsid w:val="34982AC3"/>
    <w:rsid w:val="34B90A7B"/>
    <w:rsid w:val="396C0D34"/>
    <w:rsid w:val="432D1637"/>
    <w:rsid w:val="46F459F4"/>
    <w:rsid w:val="4AF9092E"/>
    <w:rsid w:val="4CE14901"/>
    <w:rsid w:val="50274ECE"/>
    <w:rsid w:val="52BA3119"/>
    <w:rsid w:val="56CE116D"/>
    <w:rsid w:val="6BD961C4"/>
    <w:rsid w:val="6C770D95"/>
    <w:rsid w:val="6FDE6E8F"/>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qFormat/>
    <w:uiPriority w:val="0"/>
  </w:style>
  <w:style w:type="character" w:styleId="13">
    <w:name w:val="FollowedHyperlink"/>
    <w:basedOn w:val="10"/>
    <w:uiPriority w:val="0"/>
    <w:rPr>
      <w:rFonts w:ascii="微软雅黑" w:hAnsi="微软雅黑" w:eastAsia="微软雅黑" w:cs="微软雅黑"/>
      <w:color w:val="000000"/>
      <w:u w:val="none"/>
    </w:rPr>
  </w:style>
  <w:style w:type="character" w:styleId="14">
    <w:name w:val="Hyperlink"/>
    <w:basedOn w:val="10"/>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4596</Words>
  <Characters>4804</Characters>
  <TotalTime>4</TotalTime>
  <ScaleCrop>false</ScaleCrop>
  <LinksUpToDate>false</LinksUpToDate>
  <CharactersWithSpaces>5103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cp:lastPrinted>2026-04-09T00:53:00Z</cp:lastPrinted>
  <dcterms:modified xsi:type="dcterms:W3CDTF">2026-04-09T07:48:11Z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E7BB2A8D89CD4B16A5B4C3464C2FFBF3_13</vt:lpwstr>
  </property>
  <property fmtid="{D5CDD505-2E9C-101B-9397-08002B2CF9AE}" pid="6" name="KSOTemplateDocerSaveRecord">
    <vt:lpwstr>eyJoZGlkIjoiZTljNDdiYmE1NzYzMmI3YmVmMTdjZWNlNDcyZmMyYTYiLCJ1c2VySWQiOiI0MzQyMzM0ODcifQ==</vt:lpwstr>
  </property>
</Properties>
</file>