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5BB8">
      <w:pPr>
        <w:widowControl w:val="0"/>
        <w:kinsoku/>
        <w:adjustRightInd/>
        <w:snapToGrid/>
        <w:spacing w:before="273" w:after="0" w:line="219" w:lineRule="auto"/>
        <w:ind w:left="0" w:right="0"/>
        <w:jc w:val="center"/>
        <w:textAlignment w:val="auto"/>
        <w:rPr>
          <w:rFonts w:hint="eastAsia" w:ascii="方正小标宋简体" w:hAnsi="方正小标宋简体" w:eastAsia="方正小标宋简体" w:cs="方正小标宋简体"/>
          <w:snapToGrid/>
          <w:color w:val="FF3300"/>
          <w:w w:val="55"/>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4F2B9206">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75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w:t>
      </w:r>
      <w:r>
        <w:rPr>
          <w:rFonts w:hint="eastAsia" w:ascii="宋体" w:hAnsi="宋体" w:eastAsia="宋体" w:cs="宋体"/>
          <w:b/>
          <w:bCs/>
          <w:kern w:val="0"/>
          <w:sz w:val="44"/>
          <w:szCs w:val="44"/>
          <w:lang w:val="en-US" w:eastAsia="zh-CN" w:bidi="ar-SA"/>
        </w:rPr>
        <w:t>度</w:t>
      </w:r>
      <w:r>
        <w:rPr>
          <w:rFonts w:hint="default" w:ascii="宋体" w:hAnsi="宋体" w:eastAsia="宋体" w:cs="宋体"/>
          <w:b/>
          <w:bCs/>
          <w:kern w:val="0"/>
          <w:sz w:val="44"/>
          <w:szCs w:val="44"/>
          <w:lang w:val="en-US" w:eastAsia="zh-CN" w:bidi="ar-SA"/>
        </w:rPr>
        <w:t>教育部外语教指委</w:t>
      </w:r>
      <w:r>
        <w:rPr>
          <w:rFonts w:hint="eastAsia" w:ascii="宋体" w:hAnsi="宋体" w:eastAsia="宋体" w:cs="宋体"/>
          <w:b/>
          <w:bCs/>
          <w:kern w:val="0"/>
          <w:sz w:val="44"/>
          <w:szCs w:val="44"/>
          <w:lang w:val="en-US" w:eastAsia="zh-CN" w:bidi="ar-SA"/>
        </w:rPr>
        <w:t>课题的通知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2" w:name="_GoBack"/>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w:t>
      </w:r>
      <w:r>
        <w:rPr>
          <w:rFonts w:hint="default" w:ascii="仿宋_GB2312" w:hAnsi="宋体" w:eastAsia="仿宋_GB2312" w:cs="宋体"/>
          <w:b w:val="0"/>
          <w:bCs w:val="0"/>
          <w:kern w:val="0"/>
          <w:sz w:val="32"/>
          <w:szCs w:val="32"/>
          <w:lang w:val="en-US" w:eastAsia="zh-CN" w:bidi="ar-SA"/>
        </w:rPr>
        <w:t>教育部外语教指委</w:t>
      </w:r>
      <w:r>
        <w:rPr>
          <w:rFonts w:hint="eastAsia" w:ascii="仿宋_GB2312" w:hAnsi="宋体" w:eastAsia="仿宋_GB2312" w:cs="宋体"/>
          <w:b w:val="0"/>
          <w:bCs w:val="0"/>
          <w:kern w:val="0"/>
          <w:sz w:val="32"/>
          <w:szCs w:val="32"/>
          <w:lang w:val="en-US" w:eastAsia="zh-CN" w:bidi="ar-SA"/>
        </w:rPr>
        <w:t>课题申报已经开始，请根据申报通知积极申报。要求如下：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2"/>
          <w:sz w:val="32"/>
          <w:szCs w:val="32"/>
          <w:lang w:val="en-US" w:eastAsia="zh-CN" w:bidi="zh-CN"/>
        </w:rPr>
        <w:t>先</w:t>
      </w:r>
      <w:r>
        <w:rPr>
          <w:rFonts w:hint="eastAsia" w:ascii="仿宋_GB2312" w:hAnsi="宋体" w:eastAsia="仿宋_GB2312" w:cs="宋体"/>
          <w:kern w:val="0"/>
          <w:sz w:val="32"/>
          <w:szCs w:val="32"/>
          <w:lang w:val="zh-CN" w:eastAsia="zh-CN" w:bidi="zh-CN"/>
        </w:rPr>
        <w:t>在科研大数据平台进行申报，</w:t>
      </w:r>
      <w:r>
        <w:rPr>
          <w:rFonts w:hint="eastAsia" w:ascii="仿宋_GB2312" w:hAnsi="宋体" w:eastAsia="仿宋_GB2312" w:cs="宋体"/>
          <w:kern w:val="0"/>
          <w:sz w:val="32"/>
          <w:szCs w:val="32"/>
          <w:lang w:val="en-US" w:eastAsia="zh-CN" w:bidi="zh-CN"/>
        </w:rPr>
        <w:t>审核通过后的课题再在中心平台进行提交</w:t>
      </w:r>
      <w:r>
        <w:rPr>
          <w:rFonts w:hint="eastAsia" w:ascii="仿宋_GB2312" w:hAnsi="宋体" w:eastAsia="仿宋_GB2312" w:cs="宋体"/>
          <w:kern w:val="0"/>
          <w:sz w:val="32"/>
          <w:szCs w:val="32"/>
          <w:lang w:val="zh-CN" w:eastAsia="zh-CN" w:bidi="zh-CN"/>
        </w:rPr>
        <w:t>。</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20</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eastAsia="仿宋_GB2312"/>
          <w:sz w:val="32"/>
          <w:szCs w:val="32"/>
          <w:lang w:val="en-US" w:eastAsia="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课题打印申报书1份，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6月23日提交至科技与社会服务处0810。</w:t>
      </w:r>
      <w:r>
        <w:rPr>
          <w:rFonts w:hint="eastAsia" w:ascii="仿宋_GB2312" w:eastAsia="仿宋_GB2312"/>
          <w:sz w:val="32"/>
          <w:szCs w:val="32"/>
          <w:lang w:val="en-US" w:eastAsia="zh-CN"/>
        </w:rPr>
        <w:t>立项后课题级别认定为市厅级B。</w:t>
      </w:r>
    </w:p>
    <w:bookmarkEnd w:id="2"/>
    <w:p w14:paraId="7629C6EC">
      <w:pPr>
        <w:widowControl/>
        <w:autoSpaceDE w:val="0"/>
        <w:autoSpaceDN w:val="0"/>
        <w:spacing w:before="75" w:after="75" w:line="360" w:lineRule="auto"/>
        <w:ind w:right="0"/>
        <w:jc w:val="both"/>
        <w:rPr>
          <w:rFonts w:hint="default" w:ascii="仿宋_GB2312" w:eastAsia="仿宋_GB2312"/>
          <w:sz w:val="32"/>
          <w:szCs w:val="32"/>
          <w:lang w:val="en-US" w:eastAsia="zh-CN"/>
        </w:rPr>
      </w:pPr>
    </w:p>
    <w:p w14:paraId="222BBA1A">
      <w:pPr>
        <w:widowControl w:val="0"/>
        <w:kinsoku/>
        <w:adjustRightInd/>
        <w:snapToGrid/>
        <w:spacing w:before="0" w:after="0" w:line="360" w:lineRule="auto"/>
        <w:ind w:right="0"/>
        <w:textAlignment w:val="auto"/>
        <w:rPr>
          <w:rFonts w:hint="default" w:ascii="仿宋_GB2312" w:hAnsi="宋体" w:eastAsia="仿宋_GB2312" w:cs="宋体"/>
          <w:snapToGrid/>
          <w:kern w:val="0"/>
          <w:sz w:val="32"/>
          <w:szCs w:val="32"/>
          <w:lang w:val="en-US" w:eastAsia="zh-CN" w:bidi="zh-CN"/>
        </w:rPr>
      </w:pPr>
      <w:r>
        <w:rPr>
          <w:rFonts w:hint="default" w:ascii="仿宋_GB2312" w:hAnsi="宋体" w:eastAsia="仿宋_GB2312" w:cs="宋体"/>
          <w:snapToGrid/>
          <w:kern w:val="0"/>
          <w:sz w:val="32"/>
          <w:szCs w:val="32"/>
          <w:lang w:val="en-US" w:eastAsia="zh-CN" w:bidi="zh-CN"/>
        </w:rPr>
        <w:t>附件</w:t>
      </w:r>
      <w:r>
        <w:rPr>
          <w:rFonts w:hint="eastAsia" w:ascii="仿宋_GB2312" w:hAnsi="宋体" w:eastAsia="仿宋_GB2312" w:cs="宋体"/>
          <w:snapToGrid/>
          <w:kern w:val="0"/>
          <w:sz w:val="32"/>
          <w:szCs w:val="32"/>
          <w:lang w:val="en-US" w:eastAsia="zh-CN" w:bidi="zh-CN"/>
        </w:rPr>
        <w:t>：申报通知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2026年4月7日</w:t>
      </w:r>
    </w:p>
    <w:p w14:paraId="3C685076">
      <w:pPr>
        <w:keepNext w:val="0"/>
        <w:keepLines w:val="0"/>
        <w:pageBreakBefore w:val="0"/>
        <w:widowControl w:val="0"/>
        <w:kinsoku/>
        <w:wordWrap/>
        <w:overflowPunct/>
        <w:topLinePunct w:val="0"/>
        <w:autoSpaceDE/>
        <w:autoSpaceDN/>
        <w:bidi w:val="0"/>
        <w:adjustRightInd/>
        <w:snapToGrid w:val="0"/>
        <w:spacing w:before="0" w:beforeAutospacing="0" w:after="0" w:afterAutospacing="0" w:line="570" w:lineRule="exact"/>
        <w:ind w:firstLine="1050" w:firstLineChars="500"/>
        <w:jc w:val="both"/>
        <w:textAlignment w:val="baseline"/>
        <w:rPr>
          <w:rFonts w:ascii="Arial"/>
          <w:sz w:val="21"/>
        </w:rPr>
      </w:pPr>
      <w:r>
        <w:rPr>
          <w:rFonts w:ascii="Arial"/>
          <w:sz w:val="21"/>
        </w:rPr>
        <w:br w:type="page"/>
      </w:r>
    </w:p>
    <w:p w14:paraId="3ABDF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b/>
          <w:bCs/>
          <w:i w:val="0"/>
          <w:iCs w:val="0"/>
          <w:caps w:val="0"/>
          <w:spacing w:val="8"/>
          <w:sz w:val="33"/>
          <w:szCs w:val="33"/>
          <w:bdr w:val="none" w:color="auto" w:sz="0" w:space="0"/>
          <w:shd w:val="clear" w:fill="FFFFFF"/>
        </w:rPr>
      </w:pP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教育部职业院校外语类专业教学指导委员会关于开展职业教育“强国建设，外语何为” 专项课题申报的通知</w:t>
      </w:r>
    </w:p>
    <w:p w14:paraId="45FE6C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各职业院校：</w:t>
      </w:r>
    </w:p>
    <w:p w14:paraId="7ECCDB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2026年是“十五五”规划开局之年，是教育强国建设三年行动计划承上启下的关键之年。在高质量发展的时代背景下，外语教育的使命和内涵正在发生深刻变革。为深入贯彻全国教育大会精神及《教育强国建设规划纲要(2024-2035年)》部署，探索、研究职业院校外语教育和人才培养服务强国建设的有效策略和路径，推动职业外语教育高质量、内涵式发展，经研究决定，</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教育部职业院校外语类专业教学指导委员会</w:t>
      </w: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(以下简称 “外语教指委”)</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拟开展职业教育“强国建设，外语何为”专项课题申报工作。</w:t>
      </w: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本专项课题申报工作由外语教指委和外语教学与研究出版社（以下简称“外研社”）共同组织实施。</w:t>
      </w:r>
    </w:p>
    <w:p w14:paraId="757A91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现将有关事宜通知如下：</w:t>
      </w:r>
    </w:p>
    <w:p w14:paraId="4D8CE7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1"/>
          <w:szCs w:val="21"/>
        </w:rPr>
      </w:pPr>
      <w:r>
        <w:rPr>
          <w:rStyle w:val="13"/>
          <w:rFonts w:ascii="黑体" w:hAnsi="宋体" w:eastAsia="黑体" w:cs="黑体"/>
          <w:b/>
          <w:bCs/>
          <w:i w:val="0"/>
          <w:iCs w:val="0"/>
          <w:caps w:val="0"/>
          <w:snapToGrid w:val="0"/>
          <w:color w:val="000000"/>
          <w:spacing w:val="0"/>
          <w:kern w:val="0"/>
          <w:sz w:val="32"/>
          <w:szCs w:val="32"/>
          <w:bdr w:val="none" w:color="auto" w:sz="0" w:space="0"/>
          <w:shd w:val="clear" w:fill="FFFFFF"/>
          <w:lang w:val="en-US" w:eastAsia="zh-CN" w:bidi="ar"/>
        </w:rPr>
        <w:t>一、课题研究范围</w:t>
      </w:r>
    </w:p>
    <w:p w14:paraId="270144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课题研究面向职业院校各外语语种及相关专业，聚焦强国建设背景下职业院校外语教育教学关键要素改革方向与策略，围绕专业设置与教学标准建设、课程体系设计、新形态教学资源开发、教师团队发展、国际交流合作、职普融通与产教融合等维度开展，具体包括但不限于以下研究方向。课题申报者可参考以下研究方向自拟题目：</w:t>
      </w:r>
    </w:p>
    <w:p w14:paraId="6883912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1. 服务“一带一路”建设的“外语+”高职多语种人才培养研究；</w:t>
      </w:r>
    </w:p>
    <w:p w14:paraId="50E0426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2. 外语教学课程思政育人实践及评价研究；</w:t>
      </w:r>
    </w:p>
    <w:p w14:paraId="13A3DF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3. 外语类专业设置与建设及应用型人才培养研究；</w:t>
      </w:r>
    </w:p>
    <w:p w14:paraId="270CBF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4. 人工智能赋能外语课程设计与应用研究；</w:t>
      </w:r>
    </w:p>
    <w:p w14:paraId="69CA06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5. 数智时代职业外语教材和教学资源建设及应用研究；</w:t>
      </w:r>
    </w:p>
    <w:p w14:paraId="52CBA62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6. 数智时代职业外语教育测评体系研究；</w:t>
      </w:r>
    </w:p>
    <w:p w14:paraId="79B2CC4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7. 职普融通的外语教育发展路径与策略研究；</w:t>
      </w:r>
    </w:p>
    <w:p w14:paraId="0B462E5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8. 中高本贯通人才培养模式及一体化课程体系构建研究；</w:t>
      </w:r>
    </w:p>
    <w:p w14:paraId="437D18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9. 外语教育“双师型”教师团队培养模式与实践研究；</w:t>
      </w:r>
    </w:p>
    <w:p w14:paraId="5CD9010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10. 外语教育赛教融合创新实践与人才培养成效研究；</w:t>
      </w:r>
    </w:p>
    <w:p w14:paraId="41C763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11. 外语教育赋能鲁班工坊全球发展的路径与成效研究；</w:t>
      </w:r>
    </w:p>
    <w:p w14:paraId="27CE94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12. 外语教育助力职教出海、服务职业院校国际化品牌建设研究；</w:t>
      </w:r>
    </w:p>
    <w:p w14:paraId="77D7C5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13. “中文+职业技能”新形态教材建设与职业外语教育协同发展研究；</w:t>
      </w:r>
    </w:p>
    <w:p w14:paraId="4520D57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14. 外语类专业教育产教融合机制与实践研究；</w:t>
      </w:r>
    </w:p>
    <w:p w14:paraId="095070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00" w:right="0" w:hanging="360"/>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15. 外语类专业国际化数字课程、教学资源建设创新实践研究；</w:t>
      </w:r>
    </w:p>
    <w:p w14:paraId="484FF2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1"/>
          <w:szCs w:val="21"/>
        </w:rPr>
      </w:pPr>
      <w:r>
        <w:rPr>
          <w:rStyle w:val="13"/>
          <w:rFonts w:hint="eastAsia" w:ascii="黑体" w:hAnsi="宋体" w:eastAsia="黑体" w:cs="黑体"/>
          <w:b/>
          <w:bCs/>
          <w:i w:val="0"/>
          <w:iCs w:val="0"/>
          <w:caps w:val="0"/>
          <w:snapToGrid w:val="0"/>
          <w:color w:val="000000"/>
          <w:spacing w:val="0"/>
          <w:kern w:val="0"/>
          <w:sz w:val="32"/>
          <w:szCs w:val="32"/>
          <w:bdr w:val="none" w:color="auto" w:sz="0" w:space="0"/>
          <w:shd w:val="clear" w:fill="FFFFFF"/>
          <w:lang w:val="en-US" w:eastAsia="zh-CN" w:bidi="ar"/>
        </w:rPr>
        <w:t>二、申报要求</w:t>
      </w:r>
    </w:p>
    <w:p w14:paraId="5A6A83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1、课题采取公开申报和单位择优推荐相结合的方式，每所院校申报的课题总数不得超过 2 项。</w:t>
      </w:r>
    </w:p>
    <w:p w14:paraId="153E5D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2、课题负责人同年度只能申报1项外语教指委的课题（不含委托课题）。课题负责人主持的外语教指委课题尚未结题的（不含委托课题），不得作为负责人申报新的课题。一经查实，取消申报资格，并且两年内不得申报外语教指委课题。</w:t>
      </w:r>
    </w:p>
    <w:p w14:paraId="3F3926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3、申报重点课题组成员人数不超过8人（不含课题负责人），非重点课题组成员人数不超过5人（不含课题负责人）。</w:t>
      </w:r>
    </w:p>
    <w:p w14:paraId="41C922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4、全国职业院校具有高级职称的外语教师均可申报；不具有高级职称的教师，须由同研究领域2名正高级职称专家出具书面推荐意见方可申报，推荐内容需包含推荐人对课题负责人科研能力、课题学术价值、如期完成研究的可行性、预期成果产出等方面的评价，并由推荐人手写签名。</w:t>
      </w:r>
    </w:p>
    <w:p w14:paraId="05F0ED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5、课题成果形式包括但不限于：结题报告、调研报告、学术论文、学术著作、教学软件及资源、教材（纸质或数字教材）等与课题研究相关的成果。课题组公开发表相关学术成果时，</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须注明本课题立项名称和项目编号</w:t>
      </w: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等信息。</w:t>
      </w:r>
    </w:p>
    <w:p w14:paraId="5E9975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6、课题分为重点课题、一般课题和自筹经费课题三类。</w:t>
      </w:r>
    </w:p>
    <w:p w14:paraId="7EAAC6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申报重点课题另需满足以下所有条件：</w:t>
      </w:r>
    </w:p>
    <w:p w14:paraId="774664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99"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（1）课题负责人所在单位提供至少1:1的配套经费支持；</w:t>
      </w:r>
    </w:p>
    <w:p w14:paraId="2BEAFF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99"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（2）需在省级及以上专业期刊发表1篇以上相关论文。</w:t>
      </w:r>
    </w:p>
    <w:p w14:paraId="38141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1"/>
          <w:szCs w:val="21"/>
        </w:rPr>
      </w:pPr>
      <w:r>
        <w:rPr>
          <w:rStyle w:val="13"/>
          <w:rFonts w:hint="eastAsia" w:ascii="黑体" w:hAnsi="宋体" w:eastAsia="黑体" w:cs="黑体"/>
          <w:b/>
          <w:bCs/>
          <w:i w:val="0"/>
          <w:iCs w:val="0"/>
          <w:caps w:val="0"/>
          <w:snapToGrid w:val="0"/>
          <w:color w:val="000000"/>
          <w:spacing w:val="0"/>
          <w:kern w:val="0"/>
          <w:sz w:val="32"/>
          <w:szCs w:val="32"/>
          <w:bdr w:val="none" w:color="auto" w:sz="0" w:space="0"/>
          <w:shd w:val="clear" w:fill="FFFFFF"/>
          <w:lang w:val="en-US" w:eastAsia="zh-CN" w:bidi="ar"/>
        </w:rPr>
        <w:t>三、评审立项</w:t>
      </w:r>
    </w:p>
    <w:p w14:paraId="3EC5B5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课题评审严格遵循科学、公平、公正、公开的原则，评审程序主要包括资格审查、专家评审、立项公示等环节。</w:t>
      </w:r>
    </w:p>
    <w:p w14:paraId="0A46A6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课题经评审立项后，不得变更课题负责人和课题研究内容。课题组成员如果发生变更，需在中期检查阶段提出申请并填写《重要事项变更申请表》，经评审专家准许之后，方可变更。中期检查后，不得变更课题组成员。课题负责人需严格遵守申报承诺，履行研究约定义务，按计划推进研究工作，按期完成研究任务。</w:t>
      </w:r>
    </w:p>
    <w:p w14:paraId="4087BE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1"/>
          <w:szCs w:val="21"/>
        </w:rPr>
      </w:pPr>
      <w:r>
        <w:rPr>
          <w:rStyle w:val="13"/>
          <w:rFonts w:hint="eastAsia" w:ascii="黑体" w:hAnsi="宋体" w:eastAsia="黑体" w:cs="黑体"/>
          <w:b/>
          <w:bCs/>
          <w:i w:val="0"/>
          <w:iCs w:val="0"/>
          <w:caps w:val="0"/>
          <w:snapToGrid w:val="0"/>
          <w:color w:val="000000"/>
          <w:spacing w:val="0"/>
          <w:kern w:val="0"/>
          <w:sz w:val="32"/>
          <w:szCs w:val="32"/>
          <w:bdr w:val="none" w:color="auto" w:sz="0" w:space="0"/>
          <w:shd w:val="clear" w:fill="FFFFFF"/>
          <w:lang w:val="en-US" w:eastAsia="zh-CN" w:bidi="ar"/>
        </w:rPr>
        <w:t>四、课题经费</w:t>
      </w:r>
    </w:p>
    <w:p w14:paraId="29DB48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1、重点课题研究经费为 5000 元，一般课题研究经费为 2000 元，由外研社提供资助。所有课题经费在课题结题后一次性拨款至课题负责人所在单位对公账户。课题负责人所在院校收到结题通知后，需开具正规票据给外研社，外研社收到票据审核通过后安排拨款。</w:t>
      </w:r>
    </w:p>
    <w:p w14:paraId="5F1777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2、自筹经费课题由课题负责人所在院校提供支持或由课题负责人自行解决。</w:t>
      </w:r>
    </w:p>
    <w:p w14:paraId="04A139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3、课题经费需严格按照国家和课题负责人所在单位有关规定用于课题研究，专款专用、合理开支，不得挪作他用。</w:t>
      </w:r>
    </w:p>
    <w:p w14:paraId="0C1E1A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4、建议课题负责人所在单位对立项课题给予1:1以上的配套经费支持。</w:t>
      </w:r>
    </w:p>
    <w:p w14:paraId="2BACDC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1"/>
          <w:szCs w:val="21"/>
        </w:rPr>
      </w:pPr>
      <w:r>
        <w:rPr>
          <w:rStyle w:val="13"/>
          <w:rFonts w:hint="eastAsia" w:ascii="黑体" w:hAnsi="宋体" w:eastAsia="黑体" w:cs="黑体"/>
          <w:b/>
          <w:bCs/>
          <w:i w:val="0"/>
          <w:iCs w:val="0"/>
          <w:caps w:val="0"/>
          <w:snapToGrid w:val="0"/>
          <w:color w:val="000000"/>
          <w:spacing w:val="0"/>
          <w:kern w:val="0"/>
          <w:sz w:val="32"/>
          <w:szCs w:val="32"/>
          <w:bdr w:val="none" w:color="auto" w:sz="0" w:space="0"/>
          <w:shd w:val="clear" w:fill="FFFFFF"/>
          <w:lang w:val="en-US" w:eastAsia="zh-CN" w:bidi="ar"/>
        </w:rPr>
        <w:t>五、时间安排</w:t>
      </w:r>
    </w:p>
    <w:p w14:paraId="2D86BA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1"/>
          <w:szCs w:val="21"/>
        </w:rPr>
      </w:pP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（一）立项申请：2026年6月30日前</w:t>
      </w:r>
    </w:p>
    <w:p w14:paraId="5D8114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课题申请人填写《职业教育“强国建设，外语何为”专项课题立项申请书》，由课题负责人所在院校签署意见</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（院校意见不得为空）</w:t>
      </w: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并加盖学校公章</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（学校二级单位、院系等盖章无效）</w:t>
      </w: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。须于上述截止日期之前将纸质版《立项申请书》一式两份寄送至本通知指定地址，邮件左下角务必注明“外语教指委2026年度专项课题申报”字样；同时将《立项申请书》电子版</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（word版和PDF版，word 版不必盖章，PDF 版需为有院校意见和加盖学校公章的扫描件）</w:t>
      </w: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发送至指定电子邮箱，</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邮件主题注明“外语教指委2026年度专项课题申报+院校名称+负责人姓名”字样</w:t>
      </w: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，逾期申报不予受理。</w:t>
      </w:r>
    </w:p>
    <w:p w14:paraId="7E643B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1"/>
          <w:szCs w:val="21"/>
        </w:rPr>
      </w:pP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（二）课题评审和立项：2026年7月-8月</w:t>
      </w:r>
    </w:p>
    <w:p w14:paraId="1F9F45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外语教指委将组织专家对申报课题进行综合评审，并公布立项课题名单及资助级别，各类别课题级别一经确定不可调换。</w:t>
      </w:r>
    </w:p>
    <w:p w14:paraId="20A733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（三）</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中期检查：2027年3月-5月</w:t>
      </w:r>
    </w:p>
    <w:p w14:paraId="7E5F8B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课题组提交课题中期进展报告和阶段性成果，外语教指委将组织中期检查，对于重点课题，将组织中期答辩。</w:t>
      </w:r>
    </w:p>
    <w:p w14:paraId="03AEF2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1"/>
          <w:szCs w:val="21"/>
        </w:rPr>
      </w:pP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（四）结题验收：2028年1月-3月</w:t>
      </w:r>
    </w:p>
    <w:p w14:paraId="64063A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外语教指委将组织专家开展结题验收工作，验收结果分为优秀、合格、撤项三类。课题研究时限</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不予延期</w:t>
      </w: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w:t>
      </w:r>
    </w:p>
    <w:p w14:paraId="2E6E42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 </w:t>
      </w:r>
    </w:p>
    <w:p w14:paraId="29DDA8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课题结题时需提供以下材料：</w:t>
      </w:r>
    </w:p>
    <w:p w14:paraId="0C01AD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（1）《结题验收申请书》：</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（纸质版一式两份+电子版）</w:t>
      </w: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word版无需盖章，PDF版为有院校意见和加盖学校公章的扫描件；</w:t>
      </w:r>
    </w:p>
    <w:p w14:paraId="0FF3A0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（2）《课题研究报告》：</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（纸质版一式两份+电子版）</w:t>
      </w:r>
    </w:p>
    <w:p w14:paraId="3E4900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内容包含：①课题研究背景、目的、意义；②课题研究的主要内容；③课题研究采取的方法和具体措施；④课题进程或阶段说明；⑤研究的结果、结论及其取得的社会效益；⑥课题研究中存在的问题及今后的研究设想等；⑦附录（参考文献等）。</w:t>
      </w:r>
    </w:p>
    <w:p w14:paraId="124A6C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3）课题其他研究成果复印件（纸质一式两份和PDF电子版）。论文类成果必须为已经正式发表的作品；专著、教材类成果，已出版的提交书籍封面及目录复印件，未出版的提交完整书稿；数字、网络、虚拟仿真类成果需提供可核验的音频、视频、网址、系统演示文件等。如成果较多可将电子版存入U盘随纸质材料寄送。课题组在公开发表与本课题相关的学术成果时，</w:t>
      </w:r>
      <w:r>
        <w:rPr>
          <w:rStyle w:val="13"/>
          <w:rFonts w:hint="eastAsia" w:ascii="仿宋" w:hAnsi="仿宋" w:eastAsia="仿宋" w:cs="仿宋"/>
          <w:b/>
          <w:bCs/>
          <w:i w:val="0"/>
          <w:iCs w:val="0"/>
          <w:caps w:val="0"/>
          <w:snapToGrid w:val="0"/>
          <w:color w:val="000000"/>
          <w:spacing w:val="0"/>
          <w:kern w:val="0"/>
          <w:sz w:val="32"/>
          <w:szCs w:val="32"/>
          <w:bdr w:val="none" w:color="auto" w:sz="0" w:space="0"/>
          <w:shd w:val="clear" w:fill="FFFFFF"/>
          <w:lang w:val="en-US" w:eastAsia="zh-CN" w:bidi="ar"/>
        </w:rPr>
        <w:t>应注明课题名称和课题编号</w:t>
      </w: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等信息。</w:t>
      </w:r>
    </w:p>
    <w:p w14:paraId="543A3A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（4）凡有下列情形之一者，对课题作撤项处理。相关课题负责人三年内不得申报外语教指委同类课题：</w:t>
      </w:r>
    </w:p>
    <w:p w14:paraId="22A257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① 研究成果存在政治问题或学术不端行为；</w:t>
      </w:r>
    </w:p>
    <w:p w14:paraId="73EB8A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② 擅自变更课题负责人或课题研究方向；</w:t>
      </w:r>
    </w:p>
    <w:p w14:paraId="2B9DF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③ 逾期不提交结题申请；</w:t>
      </w:r>
    </w:p>
    <w:p w14:paraId="0AC5D6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④ 研究成果未通过结题验收。</w:t>
      </w:r>
    </w:p>
    <w:p w14:paraId="424860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1"/>
          <w:szCs w:val="21"/>
        </w:rPr>
      </w:pPr>
      <w:r>
        <w:rPr>
          <w:rStyle w:val="13"/>
          <w:rFonts w:hint="eastAsia" w:ascii="黑体" w:hAnsi="宋体" w:eastAsia="黑体" w:cs="黑体"/>
          <w:b/>
          <w:bCs/>
          <w:i w:val="0"/>
          <w:iCs w:val="0"/>
          <w:caps w:val="0"/>
          <w:snapToGrid w:val="0"/>
          <w:color w:val="000000"/>
          <w:spacing w:val="0"/>
          <w:kern w:val="0"/>
          <w:sz w:val="32"/>
          <w:szCs w:val="32"/>
          <w:bdr w:val="none" w:color="auto" w:sz="0" w:space="0"/>
          <w:shd w:val="clear" w:fill="FFFFFF"/>
          <w:lang w:val="en-US" w:eastAsia="zh-CN" w:bidi="ar"/>
        </w:rPr>
        <w:t>六、联系方式</w:t>
      </w:r>
    </w:p>
    <w:p w14:paraId="3D053F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寄送地址：</w:t>
      </w:r>
    </w:p>
    <w:p w14:paraId="4569AA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北京市海淀区西三环北路19号外语教学与研究出版社</w:t>
      </w:r>
    </w:p>
    <w:p w14:paraId="05D1F6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邮政编码：100089</w:t>
      </w:r>
    </w:p>
    <w:p w14:paraId="5F519D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收件人：刘老师</w:t>
      </w:r>
    </w:p>
    <w:p w14:paraId="7CDA17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联系电话：010-88819045</w:t>
      </w:r>
    </w:p>
    <w:p w14:paraId="70E258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电子邮箱：</w:t>
      </w:r>
      <w:r>
        <w:rPr>
          <w:rFonts w:hint="eastAsia" w:ascii="微软雅黑" w:hAnsi="微软雅黑" w:eastAsia="微软雅黑" w:cs="微软雅黑"/>
          <w:i w:val="0"/>
          <w:iCs w:val="0"/>
          <w:caps w:val="0"/>
          <w:snapToGrid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snapToGrid w:val="0"/>
          <w:color w:val="000000"/>
          <w:spacing w:val="0"/>
          <w:kern w:val="0"/>
          <w:sz w:val="21"/>
          <w:szCs w:val="21"/>
          <w:u w:val="none"/>
          <w:bdr w:val="none" w:color="auto" w:sz="0" w:space="0"/>
          <w:shd w:val="clear" w:fill="FFFFFF"/>
          <w:lang w:val="en-US" w:eastAsia="zh-CN" w:bidi="ar"/>
        </w:rPr>
        <w:instrText xml:space="preserve"> HYPERLINK "mailto:liufangbing@fltrp.com" </w:instrText>
      </w:r>
      <w:r>
        <w:rPr>
          <w:rFonts w:hint="eastAsia" w:ascii="微软雅黑" w:hAnsi="微软雅黑" w:eastAsia="微软雅黑" w:cs="微软雅黑"/>
          <w:i w:val="0"/>
          <w:iCs w:val="0"/>
          <w:caps w:val="0"/>
          <w:snapToGrid w:val="0"/>
          <w:color w:val="000000"/>
          <w:spacing w:val="0"/>
          <w:kern w:val="0"/>
          <w:sz w:val="21"/>
          <w:szCs w:val="21"/>
          <w:u w:val="none"/>
          <w:bdr w:val="none" w:color="auto" w:sz="0" w:space="0"/>
          <w:shd w:val="clear" w:fill="FFFFFF"/>
          <w:lang w:val="en-US" w:eastAsia="zh-CN" w:bidi="ar"/>
        </w:rPr>
        <w:fldChar w:fldCharType="separate"/>
      </w:r>
      <w:r>
        <w:rPr>
          <w:rStyle w:val="16"/>
          <w:rFonts w:hint="eastAsia" w:ascii="仿宋" w:hAnsi="仿宋" w:eastAsia="仿宋" w:cs="仿宋"/>
          <w:i w:val="0"/>
          <w:iCs w:val="0"/>
          <w:caps w:val="0"/>
          <w:color w:val="0000FF"/>
          <w:spacing w:val="0"/>
          <w:sz w:val="32"/>
          <w:szCs w:val="32"/>
          <w:u w:val="single"/>
          <w:bdr w:val="none" w:color="auto" w:sz="0" w:space="0"/>
          <w:shd w:val="clear" w:fill="FFFFFF"/>
        </w:rPr>
        <w:t>liufangbing@fltrp.com</w:t>
      </w:r>
      <w:r>
        <w:rPr>
          <w:rFonts w:hint="eastAsia" w:ascii="微软雅黑" w:hAnsi="微软雅黑" w:eastAsia="微软雅黑" w:cs="微软雅黑"/>
          <w:i w:val="0"/>
          <w:iCs w:val="0"/>
          <w:caps w:val="0"/>
          <w:snapToGrid w:val="0"/>
          <w:color w:val="000000"/>
          <w:spacing w:val="0"/>
          <w:kern w:val="0"/>
          <w:sz w:val="21"/>
          <w:szCs w:val="21"/>
          <w:u w:val="none"/>
          <w:bdr w:val="none" w:color="auto" w:sz="0" w:space="0"/>
          <w:shd w:val="clear" w:fill="FFFFFF"/>
          <w:lang w:val="en-US" w:eastAsia="zh-CN" w:bidi="ar"/>
        </w:rPr>
        <w:fldChar w:fldCharType="end"/>
      </w:r>
    </w:p>
    <w:p w14:paraId="313965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 </w:t>
      </w:r>
    </w:p>
    <w:p w14:paraId="6B902F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附件：职业教育“强国建设，外语何为”专项课题立项申请书</w:t>
      </w:r>
    </w:p>
    <w:p w14:paraId="251562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 </w:t>
      </w:r>
    </w:p>
    <w:p w14:paraId="18AC7F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教育部职业院校外语类专业教学指导委员会</w:t>
      </w:r>
    </w:p>
    <w:p w14:paraId="3074A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firstLine="2880"/>
        <w:jc w:val="righ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32"/>
          <w:szCs w:val="32"/>
          <w:bdr w:val="none" w:color="auto" w:sz="0" w:space="0"/>
          <w:shd w:val="clear" w:fill="FFFFFF"/>
          <w:lang w:val="en-US" w:eastAsia="zh-CN" w:bidi="ar"/>
        </w:rPr>
        <w:t>2026年4月3日</w:t>
      </w:r>
    </w:p>
    <w:p w14:paraId="6CF8E454">
      <w:pPr>
        <w:rPr>
          <w:rFonts w:hint="eastAsia" w:eastAsia="Microsoft YaHei UI"/>
          <w:lang w:eastAsia="zh-CN"/>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BFE419-7ACA-4834-94DA-2775EA5B9489}"/>
  </w:font>
  <w:font w:name="黑体">
    <w:panose1 w:val="02010609060101010101"/>
    <w:charset w:val="86"/>
    <w:family w:val="auto"/>
    <w:pitch w:val="default"/>
    <w:sig w:usb0="800002BF" w:usb1="38CF7CFA" w:usb2="00000016" w:usb3="00000000" w:csb0="00040001" w:csb1="00000000"/>
    <w:embedRegular r:id="rId2" w:fontKey="{19031B15-2665-48C6-BF35-1B691A0FF3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E675DF0F-3D36-4F92-9CCB-C800F1671B33}"/>
  </w:font>
  <w:font w:name="微软雅黑">
    <w:panose1 w:val="020B0503020204020204"/>
    <w:charset w:val="86"/>
    <w:family w:val="swiss"/>
    <w:pitch w:val="default"/>
    <w:sig w:usb0="80000287" w:usb1="2ACF3C50" w:usb2="00000016" w:usb3="00000000" w:csb0="0004001F" w:csb1="00000000"/>
    <w:embedRegular r:id="rId4" w:fontKey="{DC47C3A9-70AE-47C7-8C33-27D98E9A6199}"/>
  </w:font>
  <w:font w:name="方正小标宋简体">
    <w:panose1 w:val="02000000000000000000"/>
    <w:charset w:val="86"/>
    <w:family w:val="script"/>
    <w:pitch w:val="default"/>
    <w:sig w:usb0="00000001" w:usb1="080E0000" w:usb2="00000000" w:usb3="00000000" w:csb0="00040000" w:csb1="00000000"/>
    <w:embedRegular r:id="rId5" w:fontKey="{1CEEE85B-B9A5-4C7A-AFEB-F68D4235A64D}"/>
  </w:font>
  <w:font w:name="仿宋_GB2312">
    <w:altName w:val="仿宋"/>
    <w:panose1 w:val="00000000000000000000"/>
    <w:charset w:val="86"/>
    <w:family w:val="modern"/>
    <w:pitch w:val="default"/>
    <w:sig w:usb0="00000000" w:usb1="00000000" w:usb2="00000010" w:usb3="00000000" w:csb0="00040000" w:csb1="00000000"/>
    <w:embedRegular r:id="rId6" w:fontKey="{DBD8C60C-2703-49E6-82B2-C5002EC2A741}"/>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embedRegular r:id="rId7" w:fontKey="{D1B7F8BF-B724-4F0C-B2C6-B94A44557A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4"/>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4"/>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4"/>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65632AA"/>
    <w:rsid w:val="07B40D33"/>
    <w:rsid w:val="09622E44"/>
    <w:rsid w:val="0C2B4F35"/>
    <w:rsid w:val="0DAB2E51"/>
    <w:rsid w:val="0EAC1795"/>
    <w:rsid w:val="0EBF4FB6"/>
    <w:rsid w:val="10AC0666"/>
    <w:rsid w:val="10C006BD"/>
    <w:rsid w:val="159274DA"/>
    <w:rsid w:val="172633A4"/>
    <w:rsid w:val="19D25245"/>
    <w:rsid w:val="1A8A0617"/>
    <w:rsid w:val="1C3B3861"/>
    <w:rsid w:val="20675240"/>
    <w:rsid w:val="233115E7"/>
    <w:rsid w:val="32A54D0E"/>
    <w:rsid w:val="396C0D34"/>
    <w:rsid w:val="41810E86"/>
    <w:rsid w:val="4368266F"/>
    <w:rsid w:val="44CE4680"/>
    <w:rsid w:val="46F459F4"/>
    <w:rsid w:val="49B71D80"/>
    <w:rsid w:val="4AF9092E"/>
    <w:rsid w:val="4CE14901"/>
    <w:rsid w:val="50274ECE"/>
    <w:rsid w:val="52BA3119"/>
    <w:rsid w:val="56CE116D"/>
    <w:rsid w:val="5E1B2CA8"/>
    <w:rsid w:val="6C770D95"/>
    <w:rsid w:val="6FDE6E8F"/>
    <w:rsid w:val="70061E32"/>
    <w:rsid w:val="76B0590A"/>
    <w:rsid w:val="794F55F5"/>
    <w:rsid w:val="7C68458E"/>
    <w:rsid w:val="7DD30AA7"/>
    <w:rsid w:val="7E4317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unhideWhenUsed/>
    <w:qFormat/>
    <w:uiPriority w:val="9"/>
    <w:pPr>
      <w:widowControl w:val="0"/>
      <w:spacing w:beforeLines="50" w:afterLines="50"/>
      <w:ind w:firstLine="482" w:firstLineChars="200"/>
      <w:jc w:val="left"/>
      <w:outlineLvl w:val="2"/>
    </w:pPr>
    <w:rPr>
      <w:rFonts w:hint="eastAsia" w:ascii="宋体" w:hAnsi="宋体" w:eastAsia="黑体" w:cs="Times New Roman"/>
      <w:b/>
      <w:kern w:val="0"/>
      <w:sz w:val="28"/>
      <w:szCs w:val="27"/>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FollowedHyperlink"/>
    <w:basedOn w:val="12"/>
    <w:qFormat/>
    <w:uiPriority w:val="0"/>
    <w:rPr>
      <w:rFonts w:ascii="微软雅黑" w:hAnsi="微软雅黑" w:eastAsia="微软雅黑" w:cs="微软雅黑"/>
      <w:color w:val="000000"/>
      <w:u w:val="none"/>
    </w:rPr>
  </w:style>
  <w:style w:type="character" w:styleId="16">
    <w:name w:val="Hyperlink"/>
    <w:basedOn w:val="12"/>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列出段落1"/>
    <w:autoRedefine/>
    <w:qFormat/>
    <w:uiPriority w:val="0"/>
    <w:pPr>
      <w:widowControl w:val="0"/>
      <w:ind w:left="720"/>
      <w:contextualSpacing/>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923</Words>
  <Characters>1024</Characters>
  <TotalTime>51</TotalTime>
  <ScaleCrop>false</ScaleCrop>
  <LinksUpToDate>false</LinksUpToDate>
  <CharactersWithSpaces>1070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2026-04-07T02:50:59Z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3C4518AD710D4821AFC5308DCF1231BD_13</vt:lpwstr>
  </property>
  <property fmtid="{D5CDD505-2E9C-101B-9397-08002B2CF9AE}" pid="6" name="KSOTemplateDocerSaveRecord">
    <vt:lpwstr>eyJoZGlkIjoiZTljNDdiYmE1NzYzMmI3YmVmMTdjZWNlNDcyZmMyYTYiLCJ1c2VySWQiOiI0MzQyMzM0ODcifQ==</vt:lpwstr>
  </property>
</Properties>
</file>