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73" w:line="219" w:lineRule="auto"/>
        <w:jc w:val="center"/>
        <w:rPr>
          <w:rFonts w:ascii="方正小标宋简体" w:hAnsi="方正小标宋简体" w:eastAsia="方正小标宋简体" w:cs="方正小标宋简体"/>
          <w:color w:val="FF3300"/>
          <w:w w:val="79"/>
          <w:sz w:val="84"/>
          <w:szCs w:val="84"/>
        </w:rPr>
      </w:pPr>
      <w:r>
        <w:rPr>
          <w:rFonts w:hint="eastAsia" w:ascii="方正小标宋简体" w:hAnsi="方正小标宋简体" w:eastAsia="方正小标宋简体" w:cs="方正小标宋简体"/>
          <w:color w:val="FF3300"/>
          <w:sz w:val="84"/>
          <w:szCs w:val="84"/>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5"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wps:spPr>
                      <wps:bodyPr/>
                    </wps:wsp>
                  </a:graphicData>
                </a:graphic>
              </wp:anchor>
            </w:drawing>
          </mc:Choice>
          <mc:Fallback>
            <w:pict>
              <v:line id="_x0000_s1026"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q+p13XAAAACAEAAA8AAAAAAAAAAQAgAAAAIgAAAGRycy9kb3ducmV2&#10;LnhtbFBLAQIUABQAAAAIAIdO4kBTfdUa/QEAAO0DAAAOAAAAAAAAAAEAIAAAACYBAABkcnMvZTJv&#10;RG9jLnhtbFBLBQYAAAAABgAGAFkBAACV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color w:val="FF3300"/>
          <w:w w:val="55"/>
          <w:sz w:val="84"/>
          <w:szCs w:val="84"/>
        </w:rPr>
        <w:t>四川信息职业技术学院</w:t>
      </w:r>
      <w:bookmarkStart w:id="2" w:name="_GoBack"/>
      <w:bookmarkEnd w:id="2"/>
      <w:r>
        <w:rPr>
          <w:rFonts w:hint="eastAsia" w:ascii="方正小标宋简体" w:hAnsi="方正小标宋简体" w:eastAsia="方正小标宋简体" w:cs="方正小标宋简体"/>
          <w:color w:val="FF3300"/>
          <w:w w:val="55"/>
          <w:sz w:val="84"/>
          <w:szCs w:val="84"/>
        </w:rPr>
        <w:t>科技与社会服务处</w:t>
      </w:r>
    </w:p>
    <w:p>
      <w:pPr>
        <w:spacing w:before="70" w:line="60" w:lineRule="exact"/>
        <w:ind w:firstLine="183"/>
        <w:textAlignment w:val="cente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s="宋体" w:asciiTheme="majorEastAsia" w:hAnsiTheme="majorEastAsia"/>
          <w:b/>
          <w:bCs/>
          <w:kern w:val="0"/>
          <w:sz w:val="44"/>
          <w:szCs w:val="44"/>
          <w:lang w:val="en-US" w:eastAsia="zh-CN" w:bidi="ar-SA"/>
        </w:rPr>
      </w:pPr>
    </w:p>
    <w:p>
      <w:pPr>
        <w:pStyle w:val="4"/>
        <w:spacing w:before="214" w:line="376" w:lineRule="exact"/>
        <w:ind w:left="61"/>
        <w:jc w:val="center"/>
        <w:rPr>
          <w:rFonts w:hint="eastAsia" w:eastAsia="宋体" w:cs="宋体" w:asciiTheme="majorEastAsia" w:hAnsiTheme="majorEastAsia"/>
          <w:b/>
          <w:bCs/>
          <w:kern w:val="0"/>
          <w:sz w:val="44"/>
          <w:szCs w:val="44"/>
          <w:lang w:val="en-US" w:eastAsia="zh-CN" w:bidi="ar-SA"/>
        </w:rPr>
      </w:pPr>
      <w:r>
        <w:rPr>
          <w:rFonts w:hint="eastAsia" w:eastAsia="宋体" w:cs="宋体" w:asciiTheme="majorEastAsia" w:hAnsiTheme="majorEastAsia"/>
          <w:b/>
          <w:bCs/>
          <w:kern w:val="0"/>
          <w:sz w:val="44"/>
          <w:szCs w:val="44"/>
          <w:lang w:val="en-US" w:eastAsia="zh-CN" w:bidi="ar-SA"/>
        </w:rPr>
        <w:t>关于申报</w:t>
      </w:r>
      <w:bookmarkStart w:id="0" w:name="OLE_LINK3"/>
      <w:bookmarkStart w:id="1" w:name="OLE_LINK4"/>
      <w:r>
        <w:rPr>
          <w:rFonts w:hint="eastAsia" w:eastAsia="宋体" w:cs="宋体" w:asciiTheme="majorEastAsia" w:hAnsiTheme="majorEastAsia"/>
          <w:b/>
          <w:bCs/>
          <w:kern w:val="0"/>
          <w:sz w:val="44"/>
          <w:szCs w:val="44"/>
          <w:lang w:val="en-US" w:eastAsia="zh-CN" w:bidi="ar-SA"/>
        </w:rPr>
        <w:t>共青团中央“青少年发展研究”</w:t>
      </w:r>
    </w:p>
    <w:p>
      <w:pPr>
        <w:pStyle w:val="4"/>
        <w:spacing w:before="214" w:line="376" w:lineRule="exact"/>
        <w:ind w:left="61"/>
        <w:jc w:val="center"/>
        <w:rPr>
          <w:rFonts w:hint="eastAsia" w:eastAsia="宋体" w:cs="宋体" w:asciiTheme="majorEastAsia" w:hAnsiTheme="majorEastAsia"/>
          <w:b/>
          <w:bCs/>
          <w:kern w:val="0"/>
          <w:sz w:val="44"/>
          <w:szCs w:val="44"/>
          <w:lang w:val="en-US" w:eastAsia="zh-CN" w:bidi="ar-SA"/>
        </w:rPr>
      </w:pPr>
      <w:r>
        <w:rPr>
          <w:rFonts w:hint="eastAsia" w:eastAsia="宋体" w:cs="宋体" w:asciiTheme="majorEastAsia" w:hAnsiTheme="majorEastAsia"/>
          <w:b/>
          <w:bCs/>
          <w:kern w:val="0"/>
          <w:sz w:val="44"/>
          <w:szCs w:val="44"/>
          <w:lang w:val="en-US" w:eastAsia="zh-CN" w:bidi="ar-SA"/>
        </w:rPr>
        <w:t>课题（2024—2025年度）的通知</w:t>
      </w:r>
    </w:p>
    <w:p>
      <w:pPr>
        <w:spacing w:line="360" w:lineRule="auto"/>
        <w:rPr>
          <w:rFonts w:hint="eastAsia" w:ascii="仿宋_GB2312" w:hAnsi="宋体" w:eastAsia="仿宋_GB2312" w:cs="宋体"/>
          <w:sz w:val="32"/>
          <w:szCs w:val="32"/>
        </w:rPr>
      </w:pPr>
    </w:p>
    <w:p>
      <w:pPr>
        <w:spacing w:line="360" w:lineRule="auto"/>
        <w:rPr>
          <w:rFonts w:hint="eastAsia" w:ascii="仿宋_GB2312" w:hAnsi="宋体" w:eastAsia="仿宋_GB2312" w:cs="宋体"/>
          <w:sz w:val="32"/>
          <w:szCs w:val="32"/>
        </w:rPr>
      </w:pPr>
      <w:r>
        <w:rPr>
          <w:rFonts w:hint="eastAsia" w:ascii="仿宋_GB2312" w:hAnsi="宋体" w:eastAsia="仿宋_GB2312" w:cs="宋体"/>
          <w:sz w:val="32"/>
          <w:szCs w:val="32"/>
        </w:rPr>
        <w:t>各位教职工：</w:t>
      </w:r>
    </w:p>
    <w:p>
      <w:pPr>
        <w:spacing w:line="360" w:lineRule="auto"/>
        <w:ind w:firstLine="640" w:firstLineChars="200"/>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2024-2025年度共青团中央“青少年发展研究”课题申报已经开始，请根据申报通知积极申报。要求如下：</w:t>
      </w:r>
    </w:p>
    <w:bookmarkEnd w:id="0"/>
    <w:bookmarkEnd w:id="1"/>
    <w:p>
      <w:pPr>
        <w:pStyle w:val="7"/>
        <w:spacing w:line="360" w:lineRule="auto"/>
        <w:ind w:firstLine="645"/>
        <w:jc w:val="both"/>
        <w:rPr>
          <w:rFonts w:ascii="仿宋_GB2312" w:eastAsia="仿宋_GB2312"/>
          <w:sz w:val="32"/>
          <w:szCs w:val="32"/>
        </w:rPr>
      </w:pPr>
      <w:r>
        <w:rPr>
          <w:rFonts w:hint="eastAsia" w:ascii="仿宋_GB2312" w:eastAsia="仿宋_GB2312"/>
          <w:kern w:val="2"/>
          <w:sz w:val="32"/>
          <w:szCs w:val="32"/>
        </w:rPr>
        <w:t>1.</w:t>
      </w:r>
      <w:r>
        <w:rPr>
          <w:rFonts w:hint="eastAsia" w:ascii="仿宋_GB2312" w:eastAsia="仿宋_GB2312"/>
          <w:kern w:val="2"/>
          <w:sz w:val="32"/>
          <w:szCs w:val="32"/>
          <w:lang w:val="en-US" w:eastAsia="zh-CN"/>
        </w:rPr>
        <w:t>先</w:t>
      </w:r>
      <w:r>
        <w:rPr>
          <w:rFonts w:hint="eastAsia" w:ascii="仿宋_GB2312" w:eastAsia="仿宋_GB2312"/>
          <w:sz w:val="32"/>
          <w:szCs w:val="32"/>
        </w:rPr>
        <w:t>在科研大数据平台申报</w:t>
      </w:r>
      <w:r>
        <w:rPr>
          <w:rFonts w:hint="eastAsia" w:ascii="仿宋_GB2312" w:eastAsia="仿宋_GB2312"/>
          <w:sz w:val="32"/>
          <w:szCs w:val="32"/>
          <w:lang w:val="en-US" w:eastAsia="zh-CN"/>
        </w:rPr>
        <w:t>和中青网系统注册</w:t>
      </w:r>
      <w:r>
        <w:rPr>
          <w:rFonts w:hint="eastAsia" w:ascii="仿宋_GB2312" w:eastAsia="仿宋_GB2312"/>
          <w:sz w:val="32"/>
          <w:szCs w:val="32"/>
        </w:rPr>
        <w:t>。</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2.申报截止时间：202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5</w:t>
      </w:r>
      <w:r>
        <w:rPr>
          <w:rFonts w:hint="eastAsia" w:ascii="仿宋_GB2312" w:eastAsia="仿宋_GB2312"/>
          <w:sz w:val="32"/>
          <w:szCs w:val="32"/>
        </w:rPr>
        <w:t>日。</w:t>
      </w:r>
    </w:p>
    <w:p>
      <w:pPr>
        <w:spacing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3.初审审核通过的课题</w:t>
      </w:r>
      <w:r>
        <w:rPr>
          <w:rFonts w:hint="eastAsia" w:ascii="仿宋_GB2312" w:eastAsia="仿宋_GB2312"/>
          <w:sz w:val="32"/>
          <w:szCs w:val="32"/>
          <w:lang w:eastAsia="zh-CN"/>
        </w:rPr>
        <w:t>登录</w:t>
      </w:r>
      <w:r>
        <w:rPr>
          <w:rFonts w:hint="eastAsia" w:ascii="仿宋_GB2312" w:eastAsia="仿宋_GB2312"/>
          <w:sz w:val="32"/>
          <w:szCs w:val="32"/>
          <w:lang w:val="en-US" w:eastAsia="zh-CN"/>
        </w:rPr>
        <w:t>中青网系统</w:t>
      </w:r>
      <w:r>
        <w:rPr>
          <w:rFonts w:hint="eastAsia" w:ascii="仿宋_GB2312" w:eastAsia="仿宋_GB2312"/>
          <w:sz w:val="32"/>
          <w:szCs w:val="32"/>
          <w:lang w:eastAsia="zh-CN"/>
        </w:rPr>
        <w:t>进行填报</w:t>
      </w:r>
      <w:r>
        <w:rPr>
          <w:rFonts w:hint="eastAsia" w:ascii="仿宋_GB2312" w:eastAsia="仿宋_GB2312"/>
          <w:sz w:val="32"/>
          <w:szCs w:val="32"/>
        </w:rPr>
        <w:t>。</w:t>
      </w:r>
      <w:r>
        <w:rPr>
          <w:rFonts w:hint="eastAsia" w:ascii="仿宋_GB2312" w:eastAsia="仿宋_GB2312"/>
          <w:sz w:val="32"/>
          <w:szCs w:val="32"/>
          <w:lang w:val="en-US" w:eastAsia="zh-CN"/>
        </w:rPr>
        <w:t>立项后课题级别认定为省部级。</w:t>
      </w:r>
    </w:p>
    <w:p>
      <w:pPr>
        <w:spacing w:line="360" w:lineRule="auto"/>
        <w:ind w:firstLine="640" w:firstLineChars="200"/>
        <w:rPr>
          <w:rFonts w:hint="eastAsia" w:ascii="仿宋_GB2312" w:eastAsia="仿宋_GB2312"/>
          <w:sz w:val="32"/>
          <w:szCs w:val="32"/>
          <w:lang w:val="en-US" w:eastAsia="zh-CN"/>
        </w:rPr>
      </w:pPr>
    </w:p>
    <w:p>
      <w:p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附件：申报通知及指南</w:t>
      </w:r>
    </w:p>
    <w:p>
      <w:pPr>
        <w:spacing w:line="360" w:lineRule="auto"/>
        <w:rPr>
          <w:rFonts w:hint="eastAsia" w:ascii="仿宋_GB2312" w:eastAsia="仿宋_GB2312"/>
          <w:sz w:val="32"/>
          <w:szCs w:val="32"/>
          <w:lang w:val="en-US" w:eastAsia="zh-CN"/>
        </w:rPr>
      </w:pPr>
    </w:p>
    <w:p>
      <w:pPr>
        <w:spacing w:line="360" w:lineRule="auto"/>
        <w:ind w:firstLine="640" w:firstLineChars="200"/>
        <w:jc w:val="right"/>
        <w:rPr>
          <w:rFonts w:hint="eastAsia" w:ascii="仿宋_GB2312" w:eastAsia="仿宋_GB2312"/>
          <w:sz w:val="32"/>
          <w:szCs w:val="32"/>
          <w:lang w:val="en-US" w:eastAsia="zh-CN"/>
        </w:rPr>
      </w:pPr>
      <w:r>
        <w:rPr>
          <w:rFonts w:hint="eastAsia" w:ascii="仿宋_GB2312" w:eastAsia="仿宋_GB2312"/>
          <w:sz w:val="32"/>
          <w:szCs w:val="32"/>
          <w:lang w:val="en-US" w:eastAsia="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eastAsia="仿宋_GB2312"/>
          <w:sz w:val="32"/>
          <w:szCs w:val="32"/>
          <w:lang w:val="en-US" w:eastAsia="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eastAsia="仿宋_GB2312"/>
          <w:sz w:val="32"/>
          <w:szCs w:val="32"/>
          <w:lang w:val="en-US" w:eastAsia="zh-CN"/>
        </w:rPr>
        <w:t>四川信息职业技术学院科技与社会服务处</w:t>
      </w:r>
    </w:p>
    <w:p>
      <w:p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eastAsia="仿宋_GB2312"/>
          <w:sz w:val="32"/>
          <w:szCs w:val="32"/>
          <w:lang w:val="en-US" w:eastAsia="zh-CN"/>
        </w:rPr>
        <w:t xml:space="preserve">                                   2024年12月24日</w:t>
      </w:r>
      <w:r>
        <w:rPr>
          <w:rFonts w:hint="eastAsia" w:ascii="仿宋_GB2312" w:eastAsia="仿宋_GB2312"/>
          <w:sz w:val="32"/>
          <w:szCs w:val="32"/>
          <w:lang w:val="en-US" w:eastAsia="zh-CN"/>
        </w:rPr>
        <w:tab/>
      </w:r>
    </w:p>
    <w:p>
      <w:pPr>
        <w:rPr>
          <w:rFonts w:ascii="微软雅黑" w:hAnsi="微软雅黑" w:eastAsia="微软雅黑" w:cs="微软雅黑"/>
          <w:color w:val="FF0000"/>
          <w:spacing w:val="-27"/>
          <w:sz w:val="94"/>
          <w:szCs w:val="94"/>
        </w:rPr>
      </w:pPr>
      <w:r>
        <w:rPr>
          <w:rFonts w:ascii="微软雅黑" w:hAnsi="微软雅黑" w:eastAsia="微软雅黑" w:cs="微软雅黑"/>
          <w:color w:val="FF0000"/>
          <w:spacing w:val="-27"/>
          <w:sz w:val="94"/>
          <w:szCs w:val="94"/>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shd w:val="clear" w:fill="FFFFFF"/>
        </w:rPr>
        <w:t>共青团中央“青少年发展研究”课题（2024—2025年度）申报公告</w:t>
      </w:r>
    </w:p>
    <w:p>
      <w:pPr>
        <w:keepNext w:val="0"/>
        <w:keepLines w:val="0"/>
        <w:widowControl/>
        <w:suppressLineNumbers w:val="0"/>
        <w:ind w:firstLine="480" w:firstLineChars="200"/>
        <w:jc w:val="left"/>
      </w:pPr>
      <w:r>
        <w:rPr>
          <w:rFonts w:ascii="宋体" w:hAnsi="宋体" w:eastAsia="宋体" w:cs="宋体"/>
          <w:snapToGrid w:val="0"/>
          <w:color w:val="000000"/>
          <w:kern w:val="0"/>
          <w:sz w:val="24"/>
          <w:szCs w:val="24"/>
          <w:lang w:val="en-US" w:eastAsia="zh-CN" w:bidi="ar"/>
        </w:rPr>
        <w:t>为深入贯彻习近平新时代中国特色社会主义思想，落实习近平总书记对新时代马克思主义理论研究和建设工程作出的重要指示，加强青少年发展理论和政策研究，推动纵深实施《中长期青年发展规划（2016—2025年）》，共青团中央开展“青少年发展研究”课题（2024—2025年度）申报工作。</w:t>
      </w:r>
    </w:p>
    <w:p>
      <w:pPr>
        <w:pStyle w:val="7"/>
        <w:keepNext w:val="0"/>
        <w:keepLines w:val="0"/>
        <w:widowControl/>
        <w:numPr>
          <w:ilvl w:val="0"/>
          <w:numId w:val="1"/>
        </w:numPr>
        <w:suppressLineNumbers w:val="0"/>
        <w:shd w:val="clear" w:fill="FFFFFF"/>
        <w:wordWrap w:val="0"/>
        <w:spacing w:line="30" w:lineRule="atLeast"/>
        <w:ind w:left="568" w:leftChars="0" w:firstLine="0" w:firstLineChars="0"/>
        <w:rPr>
          <w:rFonts w:hint="eastAsia" w:ascii="微软雅黑" w:hAnsi="微软雅黑" w:eastAsia="微软雅黑" w:cs="微软雅黑"/>
          <w:b/>
          <w:bCs/>
          <w:i w:val="0"/>
          <w:iCs w:val="0"/>
          <w:caps w:val="0"/>
          <w:color w:val="333333"/>
          <w:spacing w:val="0"/>
          <w:sz w:val="24"/>
          <w:szCs w:val="24"/>
          <w:shd w:val="clear" w:fill="FFFFFF"/>
          <w:lang w:val="en-US" w:eastAsia="zh-CN"/>
        </w:rPr>
      </w:pPr>
      <w:r>
        <w:rPr>
          <w:rFonts w:hint="eastAsia" w:ascii="微软雅黑" w:hAnsi="微软雅黑" w:eastAsia="微软雅黑" w:cs="微软雅黑"/>
          <w:b/>
          <w:bCs/>
          <w:i w:val="0"/>
          <w:iCs w:val="0"/>
          <w:caps w:val="0"/>
          <w:color w:val="333333"/>
          <w:spacing w:val="0"/>
          <w:sz w:val="24"/>
          <w:szCs w:val="24"/>
          <w:shd w:val="clear" w:fill="FFFFFF"/>
        </w:rPr>
        <w:t>课题</w:t>
      </w:r>
      <w:r>
        <w:rPr>
          <w:rFonts w:hint="eastAsia" w:ascii="微软雅黑" w:hAnsi="微软雅黑" w:eastAsia="微软雅黑" w:cs="微软雅黑"/>
          <w:b/>
          <w:bCs/>
          <w:i w:val="0"/>
          <w:iCs w:val="0"/>
          <w:caps w:val="0"/>
          <w:color w:val="333333"/>
          <w:spacing w:val="0"/>
          <w:sz w:val="24"/>
          <w:szCs w:val="24"/>
          <w:shd w:val="clear" w:fill="FFFFFF"/>
          <w:lang w:val="en-US" w:eastAsia="zh-CN"/>
        </w:rPr>
        <w:t>类别</w:t>
      </w:r>
    </w:p>
    <w:p>
      <w:pPr>
        <w:keepNext w:val="0"/>
        <w:keepLines w:val="0"/>
        <w:widowControl/>
        <w:suppressLineNumbers w:val="0"/>
        <w:ind w:firstLine="480" w:firstLineChars="200"/>
        <w:jc w:val="left"/>
        <w:rPr>
          <w:rFonts w:ascii="宋体" w:hAnsi="宋体" w:eastAsia="宋体" w:cs="宋体"/>
          <w:snapToGrid w:val="0"/>
          <w:color w:val="000000"/>
          <w:kern w:val="0"/>
          <w:sz w:val="24"/>
          <w:szCs w:val="24"/>
          <w:lang w:val="en-US" w:eastAsia="zh-CN" w:bidi="ar"/>
        </w:rPr>
      </w:pPr>
      <w:r>
        <w:rPr>
          <w:rFonts w:ascii="宋体" w:hAnsi="宋体" w:eastAsia="宋体" w:cs="宋体"/>
          <w:snapToGrid w:val="0"/>
          <w:color w:val="000000"/>
          <w:kern w:val="0"/>
          <w:sz w:val="24"/>
          <w:szCs w:val="24"/>
          <w:lang w:val="en-US" w:eastAsia="zh-CN" w:bidi="ar"/>
        </w:rPr>
        <w:t>课题由共青团中央发布，为省部级课题。</w:t>
      </w:r>
    </w:p>
    <w:p>
      <w:pPr>
        <w:pStyle w:val="7"/>
        <w:keepNext w:val="0"/>
        <w:keepLines w:val="0"/>
        <w:widowControl/>
        <w:numPr>
          <w:ilvl w:val="0"/>
          <w:numId w:val="1"/>
        </w:numPr>
        <w:suppressLineNumbers w:val="0"/>
        <w:shd w:val="clear" w:fill="FFFFFF"/>
        <w:wordWrap w:val="0"/>
        <w:spacing w:line="30" w:lineRule="atLeast"/>
        <w:ind w:left="568" w:leftChars="0" w:firstLine="0" w:firstLineChars="0"/>
        <w:rPr>
          <w:rFonts w:hint="eastAsia" w:ascii="微软雅黑" w:hAnsi="微软雅黑" w:eastAsia="微软雅黑" w:cs="微软雅黑"/>
          <w:b/>
          <w:bCs/>
          <w:i w:val="0"/>
          <w:iCs w:val="0"/>
          <w:caps w:val="0"/>
          <w:color w:val="333333"/>
          <w:spacing w:val="0"/>
          <w:sz w:val="24"/>
          <w:szCs w:val="24"/>
          <w:shd w:val="clear" w:fill="FFFFFF"/>
          <w:lang w:val="en-US" w:eastAsia="zh-CN"/>
        </w:rPr>
      </w:pPr>
      <w:r>
        <w:rPr>
          <w:rFonts w:hint="eastAsia" w:ascii="微软雅黑" w:hAnsi="微软雅黑" w:eastAsia="微软雅黑" w:cs="微软雅黑"/>
          <w:b/>
          <w:bCs/>
          <w:i w:val="0"/>
          <w:iCs w:val="0"/>
          <w:caps w:val="0"/>
          <w:color w:val="333333"/>
          <w:spacing w:val="0"/>
          <w:sz w:val="24"/>
          <w:szCs w:val="24"/>
          <w:shd w:val="clear" w:fill="FFFFFF"/>
          <w:lang w:val="en-US" w:eastAsia="zh-CN"/>
        </w:rPr>
        <w:t>选题范围</w:t>
      </w:r>
    </w:p>
    <w:p>
      <w:pPr>
        <w:keepNext w:val="0"/>
        <w:keepLines w:val="0"/>
        <w:widowControl/>
        <w:suppressLineNumbers w:val="0"/>
        <w:jc w:val="left"/>
      </w:pPr>
      <w:r>
        <w:rPr>
          <w:rFonts w:ascii="宋体" w:hAnsi="宋体" w:eastAsia="宋体" w:cs="宋体"/>
          <w:snapToGrid w:val="0"/>
          <w:color w:val="000000"/>
          <w:spacing w:val="0"/>
          <w:kern w:val="0"/>
          <w:sz w:val="24"/>
          <w:szCs w:val="24"/>
          <w:lang w:val="en-US" w:eastAsia="zh-CN" w:bidi="ar"/>
        </w:rPr>
        <w:t>1. 青年线上和线下社交特点分析和差异性研究</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2. 青年电商助力乡村产业高质量发展的实践探索和路径研究</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3. 不同行业领域吸纳青年就业情况专题研究</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4. 当前中学生思想政治现状及行为表现研究</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5. 青少年铸牢中华民族共同体意识教育路径研究</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6. 青年婚育支持政策的效能分析</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7. 及早进行青年职业生涯规划教育及就业能力提升有关研究</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8. 独居青年生存状态与社会支持体系研究</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9. 青年发展型城市建设的经济效应分析</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10. 城市“青年空间”打造和功能效用分析</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11. 减少互联网内容迎合式算法对青年思想消极影响的对策研究</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12. 青少年司法社工参与社会治理的功能、现状及政策建议</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13. 青少年参与全过程人民民主的机制和路径研究</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14. 青年志愿者工作助力青年发展型城市建设的路径和载体研究</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15. 深化青少年政治认同、社会认同、文化认同的逻辑机理</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16. 共青团参与构建学校五育并举全面培养体系机制与路径</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17. AI生成式人工智能对青少年政治引领的机遇和挑战</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18. “两个结合”视域下青年传承中华文脉的载体路径</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19. 新时代青年话语和叙事体系构建</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20. 网络新媒体时代青少年社会动员与群体集聚机理研究</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21. “00”、“10”后网络行为偏好与思想动向研究</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22. 互联网平台青少年社会责任研究</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23. 全球青年思潮对我国青少年精神生活的冲击与影响</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24. 青年榜样典型宣传教育的话语体系创新研究</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25. 习近平总书记关于少年儿童和少先队工作的重要论述研究</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26. 中国少年儿童运动历史和经验研究</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27. 推动党团队育人链条衔接贯通研究</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28. 少先队参与大中小学思想政治教育一体化建设研究</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29. 中国式现代化进程中少年儿童精神素养培育研究</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30. 建设高素质专业化少先队工作者队伍研究</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31. 青年外交基础理论研究</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32. 世界主要国家青年思潮和青年问题研究</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33. 西方各国对全球南方国家开展的青年项目研究</w:t>
      </w:r>
      <w:r>
        <w:rPr>
          <w:rFonts w:ascii="宋体" w:hAnsi="宋体" w:eastAsia="宋体" w:cs="宋体"/>
          <w:snapToGrid w:val="0"/>
          <w:color w:val="000000"/>
          <w:kern w:val="0"/>
          <w:sz w:val="24"/>
          <w:szCs w:val="24"/>
          <w:lang w:val="en-US" w:eastAsia="zh-CN" w:bidi="ar"/>
        </w:rPr>
        <w:br w:type="textWrapping"/>
      </w:r>
      <w:r>
        <w:rPr>
          <w:rFonts w:ascii="宋体" w:hAnsi="宋体" w:eastAsia="宋体" w:cs="宋体"/>
          <w:snapToGrid w:val="0"/>
          <w:color w:val="000000"/>
          <w:spacing w:val="0"/>
          <w:kern w:val="0"/>
          <w:sz w:val="24"/>
          <w:szCs w:val="24"/>
          <w:lang w:val="en-US" w:eastAsia="zh-CN" w:bidi="ar"/>
        </w:rPr>
        <w:t>34. 政党青年工作比较研究</w:t>
      </w:r>
    </w:p>
    <w:p>
      <w:pPr>
        <w:pStyle w:val="7"/>
        <w:keepNext w:val="0"/>
        <w:keepLines w:val="0"/>
        <w:widowControl/>
        <w:suppressLineNumbers w:val="0"/>
        <w:rPr>
          <w:rFonts w:ascii="宋体" w:hAnsi="宋体" w:eastAsia="宋体" w:cs="宋体"/>
          <w:snapToGrid w:val="0"/>
          <w:color w:val="000000"/>
          <w:spacing w:val="0"/>
          <w:kern w:val="0"/>
          <w:sz w:val="24"/>
          <w:szCs w:val="24"/>
          <w:lang w:val="en-US" w:eastAsia="zh-CN" w:bidi="ar"/>
        </w:rPr>
      </w:pPr>
    </w:p>
    <w:p>
      <w:pPr>
        <w:keepNext w:val="0"/>
        <w:keepLines w:val="0"/>
        <w:widowControl/>
        <w:suppressLineNumbers w:val="0"/>
        <w:ind w:firstLine="480" w:firstLineChars="200"/>
        <w:jc w:val="left"/>
        <w:rPr>
          <w:rFonts w:ascii="宋体" w:hAnsi="宋体" w:eastAsia="宋体" w:cs="宋体"/>
          <w:snapToGrid w:val="0"/>
          <w:color w:val="000000"/>
          <w:spacing w:val="0"/>
          <w:kern w:val="0"/>
          <w:sz w:val="24"/>
          <w:szCs w:val="24"/>
          <w:lang w:val="en-US" w:eastAsia="zh-CN" w:bidi="ar"/>
        </w:rPr>
      </w:pPr>
      <w:r>
        <w:rPr>
          <w:rFonts w:ascii="宋体" w:hAnsi="宋体" w:eastAsia="宋体" w:cs="宋体"/>
          <w:snapToGrid w:val="0"/>
          <w:color w:val="000000"/>
          <w:spacing w:val="0"/>
          <w:kern w:val="0"/>
          <w:sz w:val="24"/>
          <w:szCs w:val="24"/>
          <w:lang w:val="en-US" w:eastAsia="zh-CN" w:bidi="ar"/>
        </w:rPr>
        <w:t>申报人可结合实际对课题名称、研究重点略作调整，但表述须符合项目定位，突出资政导向、学科视角，科学严谨、简明规范，避免引起歧义或争议。</w:t>
      </w:r>
    </w:p>
    <w:p>
      <w:pPr>
        <w:pStyle w:val="7"/>
        <w:keepNext w:val="0"/>
        <w:keepLines w:val="0"/>
        <w:widowControl/>
        <w:numPr>
          <w:ilvl w:val="0"/>
          <w:numId w:val="1"/>
        </w:numPr>
        <w:suppressLineNumbers w:val="0"/>
        <w:shd w:val="clear" w:fill="FFFFFF"/>
        <w:wordWrap w:val="0"/>
        <w:spacing w:line="30" w:lineRule="atLeast"/>
        <w:ind w:left="568" w:leftChars="0" w:firstLine="0" w:firstLineChars="0"/>
        <w:rPr>
          <w:rFonts w:hint="eastAsia" w:ascii="微软雅黑" w:hAnsi="微软雅黑" w:eastAsia="微软雅黑" w:cs="微软雅黑"/>
          <w:b/>
          <w:bCs/>
          <w:i w:val="0"/>
          <w:iCs w:val="0"/>
          <w:caps w:val="0"/>
          <w:color w:val="333333"/>
          <w:spacing w:val="0"/>
          <w:sz w:val="24"/>
          <w:szCs w:val="24"/>
          <w:shd w:val="clear" w:fill="FFFFFF"/>
          <w:lang w:val="en-US" w:eastAsia="zh-CN"/>
        </w:rPr>
      </w:pPr>
      <w:r>
        <w:rPr>
          <w:rFonts w:hint="eastAsia" w:ascii="微软雅黑" w:hAnsi="微软雅黑" w:eastAsia="微软雅黑" w:cs="微软雅黑"/>
          <w:b/>
          <w:bCs/>
          <w:i w:val="0"/>
          <w:iCs w:val="0"/>
          <w:caps w:val="0"/>
          <w:color w:val="333333"/>
          <w:spacing w:val="0"/>
          <w:sz w:val="24"/>
          <w:szCs w:val="24"/>
          <w:shd w:val="clear" w:fill="FFFFFF"/>
          <w:lang w:val="en-US" w:eastAsia="zh-CN"/>
        </w:rPr>
        <w:t>申报条件</w:t>
      </w:r>
    </w:p>
    <w:p>
      <w:pPr>
        <w:pStyle w:val="7"/>
        <w:keepNext w:val="0"/>
        <w:keepLines w:val="0"/>
        <w:widowControl/>
        <w:suppressLineNumbers w:val="0"/>
        <w:spacing w:line="368" w:lineRule="atLeast"/>
        <w:ind w:left="120" w:right="120" w:firstLine="420"/>
        <w:jc w:val="both"/>
        <w:rPr>
          <w:rFonts w:ascii="宋体" w:hAnsi="宋体" w:eastAsia="宋体" w:cs="宋体"/>
          <w:snapToGrid w:val="0"/>
          <w:color w:val="000000"/>
          <w:spacing w:val="0"/>
          <w:kern w:val="0"/>
          <w:sz w:val="24"/>
          <w:szCs w:val="24"/>
          <w:lang w:val="en-US" w:eastAsia="zh-CN" w:bidi="ar"/>
        </w:rPr>
      </w:pPr>
      <w:r>
        <w:rPr>
          <w:rFonts w:ascii="宋体" w:hAnsi="宋体" w:eastAsia="宋体" w:cs="宋体"/>
          <w:snapToGrid w:val="0"/>
          <w:color w:val="000000"/>
          <w:spacing w:val="0"/>
          <w:kern w:val="0"/>
          <w:sz w:val="24"/>
          <w:szCs w:val="24"/>
          <w:lang w:val="en-US" w:eastAsia="zh-CN" w:bidi="ar"/>
        </w:rPr>
        <w:t>申报人须遵守中华人民共和国宪法和法律，遵守共青团中央青少年发展研究课题管理规定，具有独立开展研究和组织开展研究的能力，能够承担实质性研究工作，品行端正、学风优良。申报课题负责人须具备下列相关条件：</w:t>
      </w:r>
    </w:p>
    <w:p>
      <w:pPr>
        <w:pStyle w:val="7"/>
        <w:keepNext w:val="0"/>
        <w:keepLines w:val="0"/>
        <w:widowControl/>
        <w:numPr>
          <w:ilvl w:val="0"/>
          <w:numId w:val="2"/>
        </w:numPr>
        <w:suppressLineNumbers w:val="0"/>
        <w:spacing w:line="368" w:lineRule="atLeast"/>
        <w:ind w:left="359" w:leftChars="171" w:right="120" w:firstLine="240" w:firstLineChars="100"/>
        <w:jc w:val="both"/>
        <w:rPr>
          <w:rFonts w:ascii="宋体" w:hAnsi="宋体" w:eastAsia="宋体" w:cs="宋体"/>
          <w:snapToGrid w:val="0"/>
          <w:color w:val="000000"/>
          <w:spacing w:val="0"/>
          <w:kern w:val="0"/>
          <w:sz w:val="24"/>
          <w:szCs w:val="24"/>
          <w:lang w:val="en-US" w:eastAsia="zh-CN" w:bidi="ar"/>
        </w:rPr>
      </w:pPr>
      <w:r>
        <w:rPr>
          <w:rFonts w:ascii="宋体" w:hAnsi="宋体" w:eastAsia="宋体" w:cs="宋体"/>
          <w:snapToGrid w:val="0"/>
          <w:color w:val="000000"/>
          <w:spacing w:val="0"/>
          <w:kern w:val="0"/>
          <w:sz w:val="24"/>
          <w:szCs w:val="24"/>
          <w:lang w:val="en-US" w:eastAsia="zh-CN" w:bidi="ar"/>
        </w:rPr>
        <w:t>具有副高级以上（含）专业技术职称（职务）或者具有博士学位。</w:t>
      </w:r>
    </w:p>
    <w:p>
      <w:pPr>
        <w:pStyle w:val="7"/>
        <w:keepNext w:val="0"/>
        <w:keepLines w:val="0"/>
        <w:widowControl/>
        <w:numPr>
          <w:ilvl w:val="0"/>
          <w:numId w:val="2"/>
        </w:numPr>
        <w:suppressLineNumbers w:val="0"/>
        <w:spacing w:line="368" w:lineRule="atLeast"/>
        <w:ind w:left="359" w:leftChars="171" w:right="120" w:firstLine="240" w:firstLineChars="100"/>
        <w:jc w:val="both"/>
        <w:rPr>
          <w:rFonts w:ascii="宋体" w:hAnsi="宋体" w:eastAsia="宋体" w:cs="宋体"/>
          <w:snapToGrid w:val="0"/>
          <w:color w:val="000000"/>
          <w:spacing w:val="0"/>
          <w:kern w:val="0"/>
          <w:sz w:val="24"/>
          <w:szCs w:val="24"/>
          <w:lang w:val="en-US" w:eastAsia="zh-CN" w:bidi="ar"/>
        </w:rPr>
      </w:pPr>
      <w:r>
        <w:rPr>
          <w:rFonts w:ascii="宋体" w:hAnsi="宋体" w:eastAsia="宋体" w:cs="宋体"/>
          <w:snapToGrid w:val="0"/>
          <w:color w:val="000000"/>
          <w:spacing w:val="0"/>
          <w:kern w:val="0"/>
          <w:sz w:val="24"/>
          <w:szCs w:val="24"/>
          <w:lang w:val="en-US" w:eastAsia="zh-CN" w:bidi="ar"/>
        </w:rPr>
        <w:t>全日制在读研究生不能申请。符合申报要求的在站博士后人员可申请，其中全脱产博士后须从所在博士后工作站申请，在职博士后可以从所在工作单位或博士后工作站申请。</w:t>
      </w:r>
    </w:p>
    <w:p>
      <w:pPr>
        <w:pStyle w:val="7"/>
        <w:keepNext w:val="0"/>
        <w:keepLines w:val="0"/>
        <w:widowControl/>
        <w:numPr>
          <w:ilvl w:val="0"/>
          <w:numId w:val="0"/>
        </w:numPr>
        <w:suppressLineNumbers w:val="0"/>
        <w:spacing w:line="368" w:lineRule="atLeast"/>
        <w:ind w:right="120" w:rightChars="0" w:firstLine="480" w:firstLineChars="200"/>
        <w:jc w:val="both"/>
        <w:rPr>
          <w:rFonts w:ascii="宋体" w:hAnsi="宋体" w:eastAsia="宋体" w:cs="宋体"/>
          <w:snapToGrid w:val="0"/>
          <w:color w:val="000000"/>
          <w:spacing w:val="0"/>
          <w:kern w:val="0"/>
          <w:sz w:val="24"/>
          <w:szCs w:val="24"/>
          <w:lang w:val="en-US" w:eastAsia="zh-CN" w:bidi="ar"/>
        </w:rPr>
      </w:pPr>
      <w:r>
        <w:rPr>
          <w:rFonts w:ascii="宋体" w:hAnsi="宋体" w:eastAsia="宋体" w:cs="宋体"/>
          <w:snapToGrid w:val="0"/>
          <w:color w:val="000000"/>
          <w:spacing w:val="0"/>
          <w:kern w:val="0"/>
          <w:sz w:val="24"/>
          <w:szCs w:val="24"/>
          <w:lang w:val="en-US" w:eastAsia="zh-CN" w:bidi="ar"/>
        </w:rPr>
        <w:t>为避免一题多报、交叉申请和重复立项，确保申报人有足够的时间和精力从事课题研究，本年度项目申报作如下限定： </w:t>
      </w:r>
      <w:r>
        <w:rPr>
          <w:rFonts w:ascii="宋体" w:hAnsi="宋体" w:eastAsia="宋体" w:cs="宋体"/>
          <w:snapToGrid w:val="0"/>
          <w:color w:val="000000"/>
          <w:spacing w:val="0"/>
          <w:kern w:val="0"/>
          <w:sz w:val="24"/>
          <w:szCs w:val="24"/>
          <w:lang w:val="en-US" w:eastAsia="zh-CN" w:bidi="ar"/>
        </w:rPr>
        <w:br w:type="textWrapping"/>
      </w:r>
      <w:r>
        <w:rPr>
          <w:rFonts w:hint="eastAsia" w:eastAsia="宋体" w:cs="宋体"/>
          <w:snapToGrid w:val="0"/>
          <w:color w:val="000000"/>
          <w:spacing w:val="0"/>
          <w:kern w:val="0"/>
          <w:sz w:val="24"/>
          <w:szCs w:val="24"/>
          <w:lang w:val="en-US" w:eastAsia="zh-CN" w:bidi="ar"/>
        </w:rPr>
        <w:t xml:space="preserve">   </w:t>
      </w:r>
      <w:r>
        <w:rPr>
          <w:rFonts w:ascii="宋体" w:hAnsi="宋体" w:eastAsia="宋体" w:cs="宋体"/>
          <w:snapToGrid w:val="0"/>
          <w:color w:val="000000"/>
          <w:spacing w:val="0"/>
          <w:kern w:val="0"/>
          <w:sz w:val="24"/>
          <w:szCs w:val="24"/>
          <w:lang w:val="en-US" w:eastAsia="zh-CN" w:bidi="ar"/>
        </w:rPr>
        <w:t>（1）申报者只能以课题负责人身份申报1项课题，或者以团队成员身份参与不多于2项课题申报。担任课题负责人的，不能再担任其他课题团队成员。所列课题组成员必须征得其本人同意，否则视为违规申报。申报团队人数（含负责人）不超过10人。</w:t>
      </w:r>
      <w:r>
        <w:rPr>
          <w:rFonts w:ascii="宋体" w:hAnsi="宋体" w:eastAsia="宋体" w:cs="宋体"/>
          <w:snapToGrid w:val="0"/>
          <w:color w:val="000000"/>
          <w:spacing w:val="0"/>
          <w:kern w:val="0"/>
          <w:sz w:val="24"/>
          <w:szCs w:val="24"/>
          <w:lang w:val="en-US" w:eastAsia="zh-CN" w:bidi="ar"/>
        </w:rPr>
        <w:br w:type="textWrapping"/>
      </w:r>
      <w:r>
        <w:rPr>
          <w:rFonts w:hint="eastAsia" w:eastAsia="宋体" w:cs="宋体"/>
          <w:snapToGrid w:val="0"/>
          <w:color w:val="000000"/>
          <w:spacing w:val="0"/>
          <w:kern w:val="0"/>
          <w:sz w:val="24"/>
          <w:szCs w:val="24"/>
          <w:lang w:val="en-US" w:eastAsia="zh-CN" w:bidi="ar"/>
        </w:rPr>
        <w:t xml:space="preserve">  </w:t>
      </w:r>
      <w:r>
        <w:rPr>
          <w:rFonts w:ascii="宋体" w:hAnsi="宋体" w:eastAsia="宋体" w:cs="宋体"/>
          <w:snapToGrid w:val="0"/>
          <w:color w:val="000000"/>
          <w:spacing w:val="0"/>
          <w:kern w:val="0"/>
          <w:sz w:val="24"/>
          <w:szCs w:val="24"/>
          <w:lang w:val="en-US" w:eastAsia="zh-CN" w:bidi="ar"/>
        </w:rPr>
        <w:t>（2）在研的共青团中央“青少年发展研究”各类课题负责人，不得申报本年度课题。</w:t>
      </w:r>
      <w:r>
        <w:rPr>
          <w:rFonts w:ascii="宋体" w:hAnsi="宋体" w:eastAsia="宋体" w:cs="宋体"/>
          <w:snapToGrid w:val="0"/>
          <w:color w:val="000000"/>
          <w:spacing w:val="0"/>
          <w:kern w:val="0"/>
          <w:sz w:val="24"/>
          <w:szCs w:val="24"/>
          <w:lang w:val="en-US" w:eastAsia="zh-CN" w:bidi="ar"/>
        </w:rPr>
        <w:br w:type="textWrapping"/>
      </w:r>
      <w:r>
        <w:rPr>
          <w:rFonts w:hint="eastAsia" w:eastAsia="宋体" w:cs="宋体"/>
          <w:snapToGrid w:val="0"/>
          <w:color w:val="000000"/>
          <w:spacing w:val="0"/>
          <w:kern w:val="0"/>
          <w:sz w:val="24"/>
          <w:szCs w:val="24"/>
          <w:lang w:val="en-US" w:eastAsia="zh-CN" w:bidi="ar"/>
        </w:rPr>
        <w:t xml:space="preserve">  </w:t>
      </w:r>
      <w:r>
        <w:rPr>
          <w:rFonts w:ascii="宋体" w:hAnsi="宋体" w:eastAsia="宋体" w:cs="宋体"/>
          <w:snapToGrid w:val="0"/>
          <w:color w:val="000000"/>
          <w:spacing w:val="0"/>
          <w:kern w:val="0"/>
          <w:sz w:val="24"/>
          <w:szCs w:val="24"/>
          <w:lang w:val="en-US" w:eastAsia="zh-CN" w:bidi="ar"/>
        </w:rPr>
        <w:t>（3）不得通过变换责任单位回避前述条款规定，不得将内容基本相同或相近的申报材料以不同申请人的名义申报。</w:t>
      </w:r>
      <w:r>
        <w:rPr>
          <w:rFonts w:ascii="宋体" w:hAnsi="宋体" w:eastAsia="宋体" w:cs="宋体"/>
          <w:snapToGrid w:val="0"/>
          <w:color w:val="000000"/>
          <w:spacing w:val="0"/>
          <w:kern w:val="0"/>
          <w:sz w:val="24"/>
          <w:szCs w:val="24"/>
          <w:lang w:val="en-US" w:eastAsia="zh-CN" w:bidi="ar"/>
        </w:rPr>
        <w:br w:type="textWrapping"/>
      </w:r>
      <w:r>
        <w:rPr>
          <w:rFonts w:hint="eastAsia" w:eastAsia="宋体" w:cs="宋体"/>
          <w:snapToGrid w:val="0"/>
          <w:color w:val="000000"/>
          <w:spacing w:val="0"/>
          <w:kern w:val="0"/>
          <w:sz w:val="24"/>
          <w:szCs w:val="24"/>
          <w:lang w:val="en-US" w:eastAsia="zh-CN" w:bidi="ar"/>
        </w:rPr>
        <w:t xml:space="preserve">  </w:t>
      </w:r>
      <w:r>
        <w:rPr>
          <w:rFonts w:ascii="宋体" w:hAnsi="宋体" w:eastAsia="宋体" w:cs="宋体"/>
          <w:snapToGrid w:val="0"/>
          <w:color w:val="000000"/>
          <w:spacing w:val="0"/>
          <w:kern w:val="0"/>
          <w:sz w:val="24"/>
          <w:szCs w:val="24"/>
          <w:lang w:val="en-US" w:eastAsia="zh-CN" w:bidi="ar"/>
        </w:rPr>
        <w:t>（4）凡在内容上与本人在研或已结项的各类国家级科研项目、图书著作等有较大关联的，须在《申请书》中予以详细说明所申报项目与已承担项目的联系和区别，否则视为重复申报。</w:t>
      </w:r>
      <w:r>
        <w:rPr>
          <w:rFonts w:ascii="宋体" w:hAnsi="宋体" w:eastAsia="宋体" w:cs="宋体"/>
          <w:snapToGrid w:val="0"/>
          <w:color w:val="000000"/>
          <w:spacing w:val="0"/>
          <w:kern w:val="0"/>
          <w:sz w:val="24"/>
          <w:szCs w:val="24"/>
          <w:lang w:val="en-US" w:eastAsia="zh-CN" w:bidi="ar"/>
        </w:rPr>
        <w:br w:type="textWrapping"/>
      </w:r>
      <w:r>
        <w:rPr>
          <w:rFonts w:hint="eastAsia" w:eastAsia="宋体" w:cs="宋体"/>
          <w:snapToGrid w:val="0"/>
          <w:color w:val="000000"/>
          <w:spacing w:val="0"/>
          <w:kern w:val="0"/>
          <w:sz w:val="24"/>
          <w:szCs w:val="24"/>
          <w:lang w:val="en-US" w:eastAsia="zh-CN" w:bidi="ar"/>
        </w:rPr>
        <w:t xml:space="preserve">  </w:t>
      </w:r>
      <w:r>
        <w:rPr>
          <w:rFonts w:ascii="宋体" w:hAnsi="宋体" w:eastAsia="宋体" w:cs="宋体"/>
          <w:snapToGrid w:val="0"/>
          <w:color w:val="000000"/>
          <w:spacing w:val="0"/>
          <w:kern w:val="0"/>
          <w:sz w:val="24"/>
          <w:szCs w:val="24"/>
          <w:lang w:val="en-US" w:eastAsia="zh-CN" w:bidi="ar"/>
        </w:rPr>
        <w:t>（5）申报人所主持的共青团中央“青少年发展研究”课题两年内因各种原因被认定为不合格，或三年内因各种原因被撤销者不得申报。</w:t>
      </w:r>
    </w:p>
    <w:p>
      <w:pPr>
        <w:pStyle w:val="7"/>
        <w:keepNext w:val="0"/>
        <w:keepLines w:val="0"/>
        <w:widowControl/>
        <w:numPr>
          <w:ilvl w:val="0"/>
          <w:numId w:val="1"/>
        </w:numPr>
        <w:suppressLineNumbers w:val="0"/>
        <w:shd w:val="clear" w:fill="FFFFFF"/>
        <w:wordWrap w:val="0"/>
        <w:spacing w:line="30" w:lineRule="atLeast"/>
        <w:ind w:left="568" w:leftChars="0" w:firstLine="0" w:firstLineChars="0"/>
        <w:rPr>
          <w:rFonts w:hint="eastAsia" w:ascii="微软雅黑" w:hAnsi="微软雅黑" w:eastAsia="微软雅黑" w:cs="微软雅黑"/>
          <w:b/>
          <w:bCs/>
          <w:i w:val="0"/>
          <w:iCs w:val="0"/>
          <w:caps w:val="0"/>
          <w:color w:val="333333"/>
          <w:spacing w:val="0"/>
          <w:sz w:val="24"/>
          <w:szCs w:val="24"/>
          <w:shd w:val="clear" w:fill="FFFFFF"/>
          <w:lang w:val="en-US" w:eastAsia="zh-CN"/>
        </w:rPr>
      </w:pPr>
      <w:r>
        <w:rPr>
          <w:rFonts w:hint="eastAsia" w:ascii="微软雅黑" w:hAnsi="微软雅黑" w:eastAsia="微软雅黑" w:cs="微软雅黑"/>
          <w:b/>
          <w:bCs/>
          <w:i w:val="0"/>
          <w:iCs w:val="0"/>
          <w:caps w:val="0"/>
          <w:color w:val="333333"/>
          <w:spacing w:val="0"/>
          <w:sz w:val="24"/>
          <w:szCs w:val="24"/>
          <w:shd w:val="clear" w:fill="FFFFFF"/>
          <w:lang w:val="en-US" w:eastAsia="zh-CN"/>
        </w:rPr>
        <w:t>研究周期及资助</w:t>
      </w:r>
    </w:p>
    <w:p>
      <w:pPr>
        <w:keepNext w:val="0"/>
        <w:keepLines w:val="0"/>
        <w:widowControl/>
        <w:suppressLineNumbers w:val="0"/>
        <w:ind w:firstLine="480" w:firstLineChars="200"/>
        <w:jc w:val="left"/>
        <w:rPr>
          <w:rFonts w:ascii="宋体" w:hAnsi="宋体" w:eastAsia="宋体" w:cs="宋体"/>
          <w:snapToGrid w:val="0"/>
          <w:color w:val="000000"/>
          <w:spacing w:val="0"/>
          <w:kern w:val="0"/>
          <w:sz w:val="24"/>
          <w:szCs w:val="24"/>
          <w:lang w:val="en-US" w:eastAsia="zh-CN" w:bidi="ar"/>
        </w:rPr>
      </w:pPr>
      <w:r>
        <w:rPr>
          <w:rFonts w:ascii="宋体" w:hAnsi="宋体" w:eastAsia="宋体" w:cs="宋体"/>
          <w:snapToGrid w:val="0"/>
          <w:color w:val="000000"/>
          <w:spacing w:val="0"/>
          <w:kern w:val="0"/>
          <w:sz w:val="24"/>
          <w:szCs w:val="24"/>
          <w:lang w:val="en-US" w:eastAsia="zh-CN" w:bidi="ar"/>
        </w:rPr>
        <w:t>课题研究周期为1年。根据申报和评审情况，每项课题择优选定研究团队承担。课题负责人为团内机关干部或团属研究机构人员的，不予资助，以自筹经费方式开展研究。其他每个研究团队资助2万元。申报人应按照《团中央青少年发展研究课题管理办法》和《团中央青少年发展研究课题资金管理办法》要求，根据实际需要编制科学合理的经费预算。</w:t>
      </w:r>
    </w:p>
    <w:p>
      <w:pPr>
        <w:pStyle w:val="7"/>
        <w:keepNext w:val="0"/>
        <w:keepLines w:val="0"/>
        <w:widowControl/>
        <w:numPr>
          <w:ilvl w:val="0"/>
          <w:numId w:val="1"/>
        </w:numPr>
        <w:suppressLineNumbers w:val="0"/>
        <w:shd w:val="clear" w:fill="FFFFFF"/>
        <w:wordWrap w:val="0"/>
        <w:spacing w:line="30" w:lineRule="atLeast"/>
        <w:ind w:left="568" w:leftChars="0" w:firstLine="0" w:firstLineChars="0"/>
        <w:rPr>
          <w:rFonts w:hint="eastAsia" w:ascii="微软雅黑" w:hAnsi="微软雅黑" w:eastAsia="微软雅黑" w:cs="微软雅黑"/>
          <w:b/>
          <w:bCs/>
          <w:i w:val="0"/>
          <w:iCs w:val="0"/>
          <w:caps w:val="0"/>
          <w:color w:val="333333"/>
          <w:spacing w:val="0"/>
          <w:sz w:val="24"/>
          <w:szCs w:val="24"/>
          <w:shd w:val="clear" w:fill="FFFFFF"/>
          <w:lang w:val="en-US" w:eastAsia="zh-CN"/>
        </w:rPr>
      </w:pPr>
      <w:r>
        <w:rPr>
          <w:rFonts w:hint="eastAsia" w:ascii="微软雅黑" w:hAnsi="微软雅黑" w:eastAsia="微软雅黑" w:cs="微软雅黑"/>
          <w:b/>
          <w:bCs/>
          <w:i w:val="0"/>
          <w:iCs w:val="0"/>
          <w:caps w:val="0"/>
          <w:color w:val="333333"/>
          <w:spacing w:val="0"/>
          <w:sz w:val="24"/>
          <w:szCs w:val="24"/>
          <w:shd w:val="clear" w:fill="FFFFFF"/>
          <w:lang w:val="en-US" w:eastAsia="zh-CN"/>
        </w:rPr>
        <w:t>注意事项</w:t>
      </w:r>
    </w:p>
    <w:p>
      <w:pPr>
        <w:keepNext w:val="0"/>
        <w:keepLines w:val="0"/>
        <w:widowControl/>
        <w:suppressLineNumbers w:val="0"/>
        <w:ind w:firstLine="480" w:firstLineChars="200"/>
        <w:jc w:val="left"/>
        <w:rPr>
          <w:rFonts w:ascii="宋体" w:hAnsi="宋体" w:eastAsia="宋体" w:cs="宋体"/>
          <w:snapToGrid w:val="0"/>
          <w:color w:val="000000"/>
          <w:spacing w:val="0"/>
          <w:kern w:val="0"/>
          <w:sz w:val="24"/>
          <w:szCs w:val="24"/>
          <w:lang w:val="en-US" w:eastAsia="zh-CN" w:bidi="ar"/>
        </w:rPr>
      </w:pPr>
      <w:r>
        <w:rPr>
          <w:rFonts w:ascii="宋体" w:hAnsi="宋体" w:eastAsia="宋体" w:cs="宋体"/>
          <w:snapToGrid w:val="0"/>
          <w:color w:val="000000"/>
          <w:spacing w:val="0"/>
          <w:kern w:val="0"/>
          <w:sz w:val="24"/>
          <w:szCs w:val="24"/>
          <w:lang w:val="en-US" w:eastAsia="zh-CN" w:bidi="ar"/>
        </w:rPr>
        <w:t>1. 相关学科领域的科研院所、学术单位、团组织或专家学者，均可以机构、团队或个人名义提出申报。个人申报需征得所在单位科研或相关主管部门同意，如多人联合申报需确定1名课题负责人。</w:t>
      </w:r>
      <w:r>
        <w:rPr>
          <w:rFonts w:ascii="宋体" w:hAnsi="宋体" w:eastAsia="宋体" w:cs="宋体"/>
          <w:snapToGrid w:val="0"/>
          <w:color w:val="000000"/>
          <w:spacing w:val="0"/>
          <w:kern w:val="0"/>
          <w:sz w:val="24"/>
          <w:szCs w:val="24"/>
          <w:lang w:val="en-US" w:eastAsia="zh-CN" w:bidi="ar"/>
        </w:rPr>
        <w:br w:type="textWrapping"/>
      </w:r>
      <w:r>
        <w:rPr>
          <w:rFonts w:hint="eastAsia" w:ascii="宋体" w:hAnsi="宋体" w:eastAsia="宋体" w:cs="宋体"/>
          <w:snapToGrid w:val="0"/>
          <w:color w:val="000000"/>
          <w:spacing w:val="0"/>
          <w:kern w:val="0"/>
          <w:sz w:val="24"/>
          <w:szCs w:val="24"/>
          <w:lang w:val="en-US" w:eastAsia="zh-CN" w:bidi="ar"/>
        </w:rPr>
        <w:t xml:space="preserve">   </w:t>
      </w:r>
      <w:r>
        <w:rPr>
          <w:rFonts w:ascii="宋体" w:hAnsi="宋体" w:eastAsia="宋体" w:cs="宋体"/>
          <w:snapToGrid w:val="0"/>
          <w:color w:val="000000"/>
          <w:spacing w:val="0"/>
          <w:kern w:val="0"/>
          <w:sz w:val="24"/>
          <w:szCs w:val="24"/>
          <w:lang w:val="en-US" w:eastAsia="zh-CN" w:bidi="ar"/>
        </w:rPr>
        <w:t>2. 课题申请人应如实填报材料，确保无知识产权争议。凡存在弄虚作假、抄袭剽窃等行为的，一经发现查实，取消三年申报资格，如获立项即予撤项并通报批评。</w:t>
      </w:r>
      <w:r>
        <w:rPr>
          <w:rFonts w:ascii="宋体" w:hAnsi="宋体" w:eastAsia="宋体" w:cs="宋体"/>
          <w:snapToGrid w:val="0"/>
          <w:color w:val="000000"/>
          <w:spacing w:val="0"/>
          <w:kern w:val="0"/>
          <w:sz w:val="24"/>
          <w:szCs w:val="24"/>
          <w:lang w:val="en-US" w:eastAsia="zh-CN" w:bidi="ar"/>
        </w:rPr>
        <w:br w:type="textWrapping"/>
      </w:r>
      <w:r>
        <w:rPr>
          <w:rFonts w:hint="eastAsia" w:ascii="宋体" w:hAnsi="宋体" w:eastAsia="宋体" w:cs="宋体"/>
          <w:snapToGrid w:val="0"/>
          <w:color w:val="000000"/>
          <w:spacing w:val="0"/>
          <w:kern w:val="0"/>
          <w:sz w:val="24"/>
          <w:szCs w:val="24"/>
          <w:lang w:val="en-US" w:eastAsia="zh-CN" w:bidi="ar"/>
        </w:rPr>
        <w:t xml:space="preserve">   </w:t>
      </w:r>
      <w:r>
        <w:rPr>
          <w:rFonts w:ascii="宋体" w:hAnsi="宋体" w:eastAsia="宋体" w:cs="宋体"/>
          <w:snapToGrid w:val="0"/>
          <w:color w:val="000000"/>
          <w:spacing w:val="0"/>
          <w:kern w:val="0"/>
          <w:sz w:val="24"/>
          <w:szCs w:val="24"/>
          <w:lang w:val="en-US" w:eastAsia="zh-CN" w:bidi="ar"/>
        </w:rPr>
        <w:t>3. 课题研究着眼资政导向，有内参撰写经验的研究团队可提供以往成果作为立项参考。</w:t>
      </w:r>
      <w:r>
        <w:rPr>
          <w:rFonts w:ascii="宋体" w:hAnsi="宋体" w:eastAsia="宋体" w:cs="宋体"/>
          <w:snapToGrid w:val="0"/>
          <w:color w:val="000000"/>
          <w:spacing w:val="0"/>
          <w:kern w:val="0"/>
          <w:sz w:val="24"/>
          <w:szCs w:val="24"/>
          <w:lang w:val="en-US" w:eastAsia="zh-CN" w:bidi="ar"/>
        </w:rPr>
        <w:br w:type="textWrapping"/>
      </w:r>
      <w:r>
        <w:rPr>
          <w:rFonts w:hint="eastAsia" w:ascii="宋体" w:hAnsi="宋体" w:eastAsia="宋体" w:cs="宋体"/>
          <w:snapToGrid w:val="0"/>
          <w:color w:val="000000"/>
          <w:spacing w:val="0"/>
          <w:kern w:val="0"/>
          <w:sz w:val="24"/>
          <w:szCs w:val="24"/>
          <w:lang w:val="en-US" w:eastAsia="zh-CN" w:bidi="ar"/>
        </w:rPr>
        <w:t xml:space="preserve">   </w:t>
      </w:r>
      <w:r>
        <w:rPr>
          <w:rFonts w:ascii="宋体" w:hAnsi="宋体" w:eastAsia="宋体" w:cs="宋体"/>
          <w:snapToGrid w:val="0"/>
          <w:color w:val="000000"/>
          <w:spacing w:val="0"/>
          <w:kern w:val="0"/>
          <w:sz w:val="24"/>
          <w:szCs w:val="24"/>
          <w:lang w:val="en-US" w:eastAsia="zh-CN" w:bidi="ar"/>
        </w:rPr>
        <w:t>4. 各申报单位应切实落实意识形态工作责任制，加强对申报材料的审核把关，并确保填报信息准确、真实，保证项目申报质量。</w:t>
      </w:r>
    </w:p>
    <w:p>
      <w:pPr>
        <w:pStyle w:val="7"/>
        <w:keepNext w:val="0"/>
        <w:keepLines w:val="0"/>
        <w:widowControl/>
        <w:numPr>
          <w:ilvl w:val="0"/>
          <w:numId w:val="0"/>
        </w:numPr>
        <w:suppressLineNumbers w:val="0"/>
        <w:shd w:val="clear" w:fill="FFFFFF"/>
        <w:wordWrap w:val="0"/>
        <w:spacing w:line="30" w:lineRule="atLeast"/>
        <w:ind w:left="568" w:leftChars="0"/>
        <w:rPr>
          <w:rFonts w:hint="eastAsia" w:ascii="微软雅黑" w:hAnsi="微软雅黑" w:eastAsia="微软雅黑" w:cs="微软雅黑"/>
          <w:b/>
          <w:bCs/>
          <w:i w:val="0"/>
          <w:iCs w:val="0"/>
          <w:caps w:val="0"/>
          <w:color w:val="333333"/>
          <w:spacing w:val="0"/>
          <w:sz w:val="24"/>
          <w:szCs w:val="24"/>
          <w:shd w:val="clear" w:fill="FFFFFF"/>
          <w:lang w:val="en-US" w:eastAsia="zh-CN"/>
        </w:rPr>
      </w:pPr>
      <w:r>
        <w:rPr>
          <w:rFonts w:hint="eastAsia" w:ascii="微软雅黑" w:hAnsi="微软雅黑" w:eastAsia="微软雅黑" w:cs="微软雅黑"/>
          <w:b/>
          <w:bCs/>
          <w:i w:val="0"/>
          <w:iCs w:val="0"/>
          <w:caps w:val="0"/>
          <w:color w:val="333333"/>
          <w:spacing w:val="0"/>
          <w:sz w:val="24"/>
          <w:szCs w:val="24"/>
          <w:shd w:val="clear" w:fill="FFFFFF"/>
          <w:lang w:val="en-US" w:eastAsia="zh-CN"/>
        </w:rPr>
        <w:t>六、申报方式</w:t>
      </w:r>
    </w:p>
    <w:p>
      <w:pPr>
        <w:pStyle w:val="7"/>
        <w:keepNext w:val="0"/>
        <w:keepLines w:val="0"/>
        <w:widowControl/>
        <w:suppressLineNumbers w:val="0"/>
        <w:spacing w:line="368" w:lineRule="atLeast"/>
        <w:ind w:left="120" w:right="120" w:firstLine="420"/>
        <w:rPr>
          <w:rFonts w:ascii="宋体" w:hAnsi="宋体" w:eastAsia="宋体" w:cs="宋体"/>
          <w:snapToGrid w:val="0"/>
          <w:color w:val="000000"/>
          <w:spacing w:val="0"/>
          <w:kern w:val="0"/>
          <w:sz w:val="24"/>
          <w:szCs w:val="24"/>
          <w:lang w:val="en-US" w:eastAsia="zh-CN" w:bidi="ar"/>
        </w:rPr>
      </w:pPr>
      <w:r>
        <w:rPr>
          <w:rFonts w:ascii="宋体" w:hAnsi="宋体" w:eastAsia="宋体" w:cs="宋体"/>
          <w:snapToGrid w:val="0"/>
          <w:color w:val="000000"/>
          <w:spacing w:val="0"/>
          <w:kern w:val="0"/>
          <w:sz w:val="24"/>
          <w:szCs w:val="24"/>
          <w:lang w:val="en-US" w:eastAsia="zh-CN" w:bidi="ar"/>
        </w:rPr>
        <w:t>1. 关注“团中央权益部”微信公众号或登录“中国青年网”（http://www.youth.cn/）、“中国青少年研究中心”网站（http://www.cycrs.org.cn/），查看相关课题研究说明，在线填写《共青团中央“青少年发展研究”课题申请书》，申报截止时间为2025年1月8日17:00。逾期系统自动关闭，不再受理申报。</w:t>
      </w:r>
    </w:p>
    <w:p>
      <w:pPr>
        <w:pStyle w:val="7"/>
        <w:keepNext w:val="0"/>
        <w:keepLines w:val="0"/>
        <w:widowControl/>
        <w:suppressLineNumbers w:val="0"/>
        <w:spacing w:line="368" w:lineRule="atLeast"/>
        <w:ind w:left="120" w:right="120" w:firstLine="420"/>
        <w:rPr>
          <w:rFonts w:ascii="宋体" w:hAnsi="宋体" w:eastAsia="宋体" w:cs="宋体"/>
          <w:snapToGrid w:val="0"/>
          <w:color w:val="000000"/>
          <w:spacing w:val="0"/>
          <w:kern w:val="0"/>
          <w:sz w:val="24"/>
          <w:szCs w:val="24"/>
          <w:lang w:val="en-US" w:eastAsia="zh-CN" w:bidi="ar"/>
        </w:rPr>
      </w:pPr>
    </w:p>
    <w:p>
      <w:pPr>
        <w:pStyle w:val="7"/>
        <w:keepNext w:val="0"/>
        <w:keepLines w:val="0"/>
        <w:widowControl/>
        <w:suppressLineNumbers w:val="0"/>
        <w:spacing w:line="368" w:lineRule="atLeast"/>
        <w:ind w:left="120" w:right="120" w:firstLine="420"/>
        <w:rPr>
          <w:rFonts w:ascii="宋体" w:hAnsi="宋体" w:eastAsia="宋体" w:cs="宋体"/>
          <w:snapToGrid w:val="0"/>
          <w:color w:val="000000"/>
          <w:spacing w:val="0"/>
          <w:kern w:val="0"/>
          <w:sz w:val="24"/>
          <w:szCs w:val="24"/>
          <w:lang w:val="en-US" w:eastAsia="zh-CN" w:bidi="ar"/>
        </w:rPr>
      </w:pPr>
      <w:r>
        <w:rPr>
          <w:rFonts w:ascii="宋体" w:hAnsi="宋体" w:eastAsia="宋体" w:cs="宋体"/>
          <w:snapToGrid w:val="0"/>
          <w:color w:val="000000"/>
          <w:spacing w:val="0"/>
          <w:kern w:val="0"/>
          <w:sz w:val="24"/>
          <w:szCs w:val="24"/>
          <w:lang w:val="en-US" w:eastAsia="zh-CN" w:bidi="ar"/>
        </w:rPr>
        <w:t>2. 2月中旬左右，申报人登录在线申报系统，查看评审结果。</w:t>
      </w:r>
    </w:p>
    <w:p>
      <w:pPr>
        <w:pStyle w:val="7"/>
        <w:keepNext w:val="0"/>
        <w:keepLines w:val="0"/>
        <w:widowControl/>
        <w:numPr>
          <w:ilvl w:val="0"/>
          <w:numId w:val="0"/>
        </w:numPr>
        <w:suppressLineNumbers w:val="0"/>
        <w:shd w:val="clear" w:fill="FFFFFF"/>
        <w:wordWrap w:val="0"/>
        <w:spacing w:line="30" w:lineRule="atLeast"/>
        <w:ind w:left="568" w:leftChars="0"/>
        <w:rPr>
          <w:rFonts w:hint="eastAsia" w:ascii="微软雅黑" w:hAnsi="微软雅黑" w:eastAsia="微软雅黑" w:cs="微软雅黑"/>
          <w:b/>
          <w:bCs/>
          <w:i w:val="0"/>
          <w:iCs w:val="0"/>
          <w:caps w:val="0"/>
          <w:color w:val="333333"/>
          <w:spacing w:val="0"/>
          <w:sz w:val="24"/>
          <w:szCs w:val="24"/>
          <w:shd w:val="clear" w:fill="FFFFFF"/>
          <w:lang w:val="en-US" w:eastAsia="zh-CN"/>
        </w:rPr>
      </w:pPr>
      <w:r>
        <w:rPr>
          <w:rFonts w:hint="eastAsia" w:ascii="微软雅黑" w:hAnsi="微软雅黑" w:eastAsia="微软雅黑" w:cs="微软雅黑"/>
          <w:b/>
          <w:bCs/>
          <w:i w:val="0"/>
          <w:iCs w:val="0"/>
          <w:caps w:val="0"/>
          <w:color w:val="333333"/>
          <w:spacing w:val="0"/>
          <w:sz w:val="24"/>
          <w:szCs w:val="24"/>
          <w:shd w:val="clear" w:fill="FFFFFF"/>
          <w:lang w:val="en-US" w:eastAsia="zh-CN"/>
        </w:rPr>
        <w:t>七、课题评审与经费拨付</w:t>
      </w:r>
    </w:p>
    <w:p>
      <w:pPr>
        <w:keepNext w:val="0"/>
        <w:keepLines w:val="0"/>
        <w:widowControl/>
        <w:suppressLineNumbers w:val="0"/>
        <w:ind w:firstLine="480" w:firstLineChars="200"/>
        <w:jc w:val="left"/>
        <w:rPr>
          <w:rFonts w:ascii="宋体" w:hAnsi="宋体" w:eastAsia="宋体" w:cs="宋体"/>
          <w:snapToGrid w:val="0"/>
          <w:color w:val="000000"/>
          <w:spacing w:val="0"/>
          <w:kern w:val="0"/>
          <w:sz w:val="24"/>
          <w:szCs w:val="24"/>
          <w:lang w:val="en-US" w:eastAsia="zh-CN" w:bidi="ar"/>
        </w:rPr>
      </w:pPr>
      <w:r>
        <w:rPr>
          <w:rFonts w:ascii="宋体" w:hAnsi="宋体" w:eastAsia="宋体" w:cs="宋体"/>
          <w:snapToGrid w:val="0"/>
          <w:color w:val="000000"/>
          <w:spacing w:val="0"/>
          <w:kern w:val="0"/>
          <w:sz w:val="24"/>
          <w:szCs w:val="24"/>
          <w:lang w:val="en-US" w:eastAsia="zh-CN" w:bidi="ar"/>
        </w:rPr>
        <w:t>团中央相关部门单位组织评委进行资格审查、匿名初评、集中复评、会议终评，根据评审意见确定课题承担机构、团队或个人，公示无异议后向研究团队发立项通知书。评审结果将在“团中央权益部”微信公众号、“中国青年网”和“中国青少年研究中心”网站等平台公布。</w:t>
      </w:r>
    </w:p>
    <w:p>
      <w:pPr>
        <w:pStyle w:val="7"/>
        <w:keepNext w:val="0"/>
        <w:keepLines w:val="0"/>
        <w:widowControl/>
        <w:numPr>
          <w:ilvl w:val="0"/>
          <w:numId w:val="0"/>
        </w:numPr>
        <w:suppressLineNumbers w:val="0"/>
        <w:shd w:val="clear" w:fill="FFFFFF"/>
        <w:wordWrap w:val="0"/>
        <w:spacing w:line="30" w:lineRule="atLeast"/>
        <w:ind w:left="568" w:leftChars="0"/>
        <w:rPr>
          <w:rFonts w:hint="eastAsia" w:ascii="微软雅黑" w:hAnsi="微软雅黑" w:eastAsia="微软雅黑" w:cs="微软雅黑"/>
          <w:b/>
          <w:bCs/>
          <w:i w:val="0"/>
          <w:iCs w:val="0"/>
          <w:caps w:val="0"/>
          <w:color w:val="333333"/>
          <w:spacing w:val="0"/>
          <w:sz w:val="24"/>
          <w:szCs w:val="24"/>
          <w:shd w:val="clear" w:fill="FFFFFF"/>
          <w:lang w:val="en-US" w:eastAsia="zh-CN"/>
        </w:rPr>
      </w:pPr>
      <w:r>
        <w:rPr>
          <w:rFonts w:hint="eastAsia" w:ascii="微软雅黑" w:hAnsi="微软雅黑" w:eastAsia="微软雅黑" w:cs="微软雅黑"/>
          <w:b/>
          <w:bCs/>
          <w:i w:val="0"/>
          <w:iCs w:val="0"/>
          <w:caps w:val="0"/>
          <w:color w:val="333333"/>
          <w:spacing w:val="0"/>
          <w:sz w:val="24"/>
          <w:szCs w:val="24"/>
          <w:shd w:val="clear" w:fill="FFFFFF"/>
          <w:lang w:val="en-US" w:eastAsia="zh-CN"/>
        </w:rPr>
        <w:t>八、课题管理</w:t>
      </w:r>
    </w:p>
    <w:p>
      <w:pPr>
        <w:keepNext w:val="0"/>
        <w:keepLines w:val="0"/>
        <w:widowControl/>
        <w:suppressLineNumbers w:val="0"/>
        <w:ind w:left="479" w:leftChars="228" w:firstLine="0" w:firstLineChars="0"/>
        <w:jc w:val="left"/>
        <w:rPr>
          <w:rFonts w:ascii="宋体" w:hAnsi="宋体" w:eastAsia="宋体" w:cs="宋体"/>
          <w:snapToGrid w:val="0"/>
          <w:color w:val="000000"/>
          <w:spacing w:val="0"/>
          <w:kern w:val="0"/>
          <w:sz w:val="24"/>
          <w:szCs w:val="24"/>
          <w:lang w:val="en-US" w:eastAsia="zh-CN" w:bidi="ar"/>
        </w:rPr>
      </w:pPr>
      <w:r>
        <w:rPr>
          <w:rFonts w:ascii="宋体" w:hAnsi="宋体" w:eastAsia="宋体" w:cs="宋体"/>
          <w:snapToGrid w:val="0"/>
          <w:color w:val="000000"/>
          <w:spacing w:val="0"/>
          <w:kern w:val="0"/>
          <w:sz w:val="24"/>
          <w:szCs w:val="24"/>
          <w:lang w:val="en-US" w:eastAsia="zh-CN" w:bidi="ar"/>
        </w:rPr>
        <w:t>1. 正式立项后，团中央相关部门单位对研究进展和经费使用情况进行跟踪管</w:t>
      </w:r>
      <w:r>
        <w:rPr>
          <w:rFonts w:hint="eastAsia" w:ascii="宋体" w:hAnsi="宋体" w:eastAsia="宋体" w:cs="宋体"/>
          <w:snapToGrid w:val="0"/>
          <w:color w:val="000000"/>
          <w:spacing w:val="0"/>
          <w:kern w:val="0"/>
          <w:sz w:val="24"/>
          <w:szCs w:val="24"/>
          <w:lang w:val="en-US" w:eastAsia="zh-CN" w:bidi="ar"/>
        </w:rPr>
        <w:t>。</w:t>
      </w:r>
    </w:p>
    <w:p>
      <w:pPr>
        <w:keepNext w:val="0"/>
        <w:keepLines w:val="0"/>
        <w:widowControl/>
        <w:suppressLineNumbers w:val="0"/>
        <w:ind w:firstLine="480" w:firstLineChars="200"/>
        <w:jc w:val="left"/>
        <w:rPr>
          <w:rFonts w:ascii="宋体" w:hAnsi="宋体" w:eastAsia="宋体" w:cs="宋体"/>
          <w:snapToGrid w:val="0"/>
          <w:color w:val="000000"/>
          <w:spacing w:val="0"/>
          <w:kern w:val="0"/>
          <w:sz w:val="24"/>
          <w:szCs w:val="24"/>
          <w:lang w:val="en-US" w:eastAsia="zh-CN" w:bidi="ar"/>
        </w:rPr>
      </w:pPr>
      <w:r>
        <w:rPr>
          <w:rFonts w:ascii="宋体" w:hAnsi="宋体" w:eastAsia="宋体" w:cs="宋体"/>
          <w:snapToGrid w:val="0"/>
          <w:color w:val="000000"/>
          <w:spacing w:val="0"/>
          <w:kern w:val="0"/>
          <w:sz w:val="24"/>
          <w:szCs w:val="24"/>
          <w:lang w:val="en-US" w:eastAsia="zh-CN" w:bidi="ar"/>
        </w:rPr>
        <w:t>2. 各课题组应当于研究期限内完成不少于1篇决策咨询报告、1篇课题结题报告。结题时，团中央相关部门单位将组织专家进行评审验收，并确定相应等次。</w:t>
      </w:r>
    </w:p>
    <w:p>
      <w:pPr>
        <w:pStyle w:val="7"/>
        <w:keepNext w:val="0"/>
        <w:keepLines w:val="0"/>
        <w:widowControl/>
        <w:suppressLineNumbers w:val="0"/>
        <w:rPr>
          <w:rFonts w:ascii="宋体" w:hAnsi="宋体" w:eastAsia="宋体" w:cs="宋体"/>
          <w:snapToGrid w:val="0"/>
          <w:color w:val="000000"/>
          <w:spacing w:val="0"/>
          <w:kern w:val="0"/>
          <w:sz w:val="24"/>
          <w:szCs w:val="24"/>
          <w:lang w:val="en-US" w:eastAsia="zh-CN" w:bidi="ar"/>
        </w:rPr>
      </w:pPr>
    </w:p>
    <w:p>
      <w:pPr>
        <w:pStyle w:val="7"/>
        <w:keepNext w:val="0"/>
        <w:keepLines w:val="0"/>
        <w:widowControl/>
        <w:suppressLineNumbers w:val="0"/>
        <w:jc w:val="right"/>
        <w:rPr>
          <w:rFonts w:ascii="宋体" w:hAnsi="宋体" w:eastAsia="宋体" w:cs="宋体"/>
          <w:snapToGrid w:val="0"/>
          <w:color w:val="000000"/>
          <w:spacing w:val="0"/>
          <w:kern w:val="0"/>
          <w:sz w:val="24"/>
          <w:szCs w:val="24"/>
          <w:lang w:val="en-US" w:eastAsia="zh-CN" w:bidi="ar"/>
        </w:rPr>
      </w:pPr>
      <w:r>
        <w:rPr>
          <w:rFonts w:ascii="宋体" w:hAnsi="宋体" w:eastAsia="宋体" w:cs="宋体"/>
          <w:snapToGrid w:val="0"/>
          <w:color w:val="000000"/>
          <w:spacing w:val="0"/>
          <w:kern w:val="0"/>
          <w:sz w:val="24"/>
          <w:szCs w:val="24"/>
          <w:lang w:val="en-US" w:eastAsia="zh-CN" w:bidi="ar"/>
        </w:rPr>
        <w:t>共青团中央</w:t>
      </w:r>
    </w:p>
    <w:p>
      <w:pPr>
        <w:pStyle w:val="7"/>
        <w:keepNext w:val="0"/>
        <w:keepLines w:val="0"/>
        <w:widowControl/>
        <w:suppressLineNumbers w:val="0"/>
        <w:jc w:val="right"/>
        <w:rPr>
          <w:rFonts w:ascii="宋体" w:hAnsi="宋体" w:eastAsia="宋体" w:cs="宋体"/>
          <w:snapToGrid w:val="0"/>
          <w:color w:val="000000"/>
          <w:spacing w:val="0"/>
          <w:kern w:val="0"/>
          <w:sz w:val="24"/>
          <w:szCs w:val="24"/>
          <w:lang w:val="en-US" w:eastAsia="zh-CN" w:bidi="ar"/>
        </w:rPr>
      </w:pPr>
      <w:r>
        <w:rPr>
          <w:rFonts w:ascii="宋体" w:hAnsi="宋体" w:eastAsia="宋体" w:cs="宋体"/>
          <w:snapToGrid w:val="0"/>
          <w:color w:val="000000"/>
          <w:spacing w:val="0"/>
          <w:kern w:val="0"/>
          <w:sz w:val="24"/>
          <w:szCs w:val="24"/>
          <w:lang w:val="en-US" w:eastAsia="zh-CN" w:bidi="ar"/>
        </w:rPr>
        <w:t>2024年12月12日</w:t>
      </w:r>
    </w:p>
    <w:p>
      <w:pPr>
        <w:pStyle w:val="4"/>
        <w:numPr>
          <w:ilvl w:val="0"/>
          <w:numId w:val="0"/>
        </w:numPr>
        <w:spacing w:before="101" w:line="343" w:lineRule="auto"/>
        <w:ind w:right="991" w:rightChars="0"/>
        <w:rPr>
          <w:rFonts w:hint="default" w:ascii="Times New Roman" w:hAnsi="Times New Roman" w:eastAsia="宋体" w:cs="Times New Roman"/>
          <w:spacing w:val="-3"/>
          <w:lang w:val="en-US" w:eastAsia="zh-CN"/>
        </w:rPr>
      </w:pPr>
    </w:p>
    <w:sectPr>
      <w:footerReference r:id="rId5" w:type="default"/>
      <w:pgSz w:w="11906" w:h="16838"/>
      <w:pgMar w:top="1431" w:right="1472" w:bottom="1708" w:left="1603" w:header="0" w:footer="143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312"/>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8"/>
        <w:sz w:val="28"/>
        <w:szCs w:val="28"/>
      </w:rPr>
      <w:t xml:space="preserve"> </w:t>
    </w:r>
    <w:r>
      <w:rPr>
        <w:rFonts w:ascii="宋体" w:hAnsi="宋体" w:eastAsia="宋体" w:cs="宋体"/>
        <w:spacing w:val="-6"/>
        <w:sz w:val="28"/>
        <w:szCs w:val="28"/>
      </w:rPr>
      <w:t>4</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B1BA1"/>
    <w:multiLevelType w:val="singleLevel"/>
    <w:tmpl w:val="C5EB1BA1"/>
    <w:lvl w:ilvl="0" w:tentative="0">
      <w:start w:val="1"/>
      <w:numFmt w:val="decimal"/>
      <w:suff w:val="space"/>
      <w:lvlText w:val="%1."/>
      <w:lvlJc w:val="left"/>
    </w:lvl>
  </w:abstractNum>
  <w:abstractNum w:abstractNumId="1">
    <w:nsid w:val="C5F50FEA"/>
    <w:multiLevelType w:val="singleLevel"/>
    <w:tmpl w:val="C5F50FEA"/>
    <w:lvl w:ilvl="0" w:tentative="0">
      <w:start w:val="1"/>
      <w:numFmt w:val="chineseCounting"/>
      <w:suff w:val="nothing"/>
      <w:lvlText w:val="%1、"/>
      <w:lvlJc w:val="left"/>
      <w:pPr>
        <w:ind w:left="568"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e9089e7c-3bd3-49e5-b40a-20540ae1ae24"/>
  </w:docVars>
  <w:rsids>
    <w:rsidRoot w:val="00000000"/>
    <w:rsid w:val="07450B47"/>
    <w:rsid w:val="0EA26DCA"/>
    <w:rsid w:val="1B62290C"/>
    <w:rsid w:val="24134E54"/>
    <w:rsid w:val="280136B2"/>
    <w:rsid w:val="28791E12"/>
    <w:rsid w:val="57267E7D"/>
    <w:rsid w:val="5AC03A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75" w:after="75"/>
      <w:jc w:val="left"/>
    </w:pPr>
    <w:rPr>
      <w:rFonts w:ascii="宋体" w:hAnsi="宋体" w:cs="宋体"/>
      <w:kern w:val="0"/>
      <w:sz w:val="24"/>
    </w:rPr>
  </w:style>
  <w:style w:type="table" w:styleId="9">
    <w:name w:val="Table Grid"/>
    <w:basedOn w:val="8"/>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2560</Words>
  <Characters>2728</Characters>
  <TotalTime>12</TotalTime>
  <ScaleCrop>false</ScaleCrop>
  <LinksUpToDate>false</LinksUpToDate>
  <CharactersWithSpaces>2827</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2024-08-01T07:34:00Z</dcterms:created>
  <dc:creator>Administrator</dc:creator>
  <cp:lastModifiedBy>10801</cp:lastModifiedBy>
  <dcterms:modified xsi:type="dcterms:W3CDTF">2025-06-11T02:29:24Z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2024-08-01T15:34:56Z</vt:filetime>
  </property>
  <property fmtid="{D5CDD505-2E9C-101B-9397-08002B2CF9AE}" pid="4" name="KSOProductBuildVer">
    <vt:lpwstr>2052-11.1.0.12165</vt:lpwstr>
  </property>
  <property fmtid="{D5CDD505-2E9C-101B-9397-08002B2CF9AE}" pid="5" name="ICV">
    <vt:lpwstr>80C951B24DF645F49437BC040099A2E5</vt:lpwstr>
  </property>
</Properties>
</file>